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86520D" w14:textId="11692BAF" w:rsidR="001F6AF2" w:rsidRDefault="00000000">
      <w:pPr>
        <w:spacing w:line="360" w:lineRule="auto"/>
        <w:jc w:val="center"/>
        <w:rPr>
          <w:rFonts w:ascii="Times New Roman" w:eastAsia="Times New Roman" w:hAnsi="Times New Roman" w:cs="Times New Roman"/>
          <w:b/>
          <w:sz w:val="28"/>
          <w:szCs w:val="36"/>
          <w:lang w:val="az-Latn-AZ"/>
        </w:rPr>
      </w:pPr>
      <w:r>
        <w:rPr>
          <w:rFonts w:ascii="Times New Roman" w:eastAsia="Times New Roman" w:hAnsi="Times New Roman" w:cs="Times New Roman"/>
          <w:b/>
          <w:sz w:val="28"/>
          <w:szCs w:val="36"/>
          <w:lang w:val="az-Latn-AZ"/>
        </w:rPr>
        <w:t xml:space="preserve">AZƏRBAYCAN RESPUBLİKASI </w:t>
      </w:r>
    </w:p>
    <w:p w14:paraId="69067D62" w14:textId="77777777" w:rsidR="001F6AF2" w:rsidRDefault="00000000">
      <w:pPr>
        <w:spacing w:line="360" w:lineRule="auto"/>
        <w:ind w:firstLine="360"/>
        <w:jc w:val="center"/>
        <w:rPr>
          <w:rFonts w:ascii="Times New Roman" w:eastAsia="Times New Roman" w:hAnsi="Times New Roman" w:cs="Times New Roman"/>
          <w:b/>
          <w:sz w:val="28"/>
          <w:szCs w:val="36"/>
          <w:lang w:val="az-Latn-AZ"/>
        </w:rPr>
      </w:pPr>
      <w:r>
        <w:rPr>
          <w:rFonts w:ascii="Times New Roman" w:eastAsia="Times New Roman" w:hAnsi="Times New Roman" w:cs="Times New Roman"/>
          <w:b/>
          <w:sz w:val="28"/>
          <w:szCs w:val="36"/>
          <w:lang w:val="az-Latn-AZ"/>
        </w:rPr>
        <w:t>DÖVLƏT GÖMRÜK KOMİTƏSİNİN AKADEMİYASI</w:t>
      </w:r>
    </w:p>
    <w:p w14:paraId="39050F70" w14:textId="1C10166C" w:rsidR="001F6AF2" w:rsidRDefault="00D86DB1">
      <w:pPr>
        <w:spacing w:line="360" w:lineRule="auto"/>
        <w:ind w:firstLine="360"/>
        <w:jc w:val="center"/>
        <w:rPr>
          <w:rFonts w:ascii="Times New Roman" w:eastAsia="Times New Roman" w:hAnsi="Times New Roman" w:cs="Times New Roman"/>
          <w:b/>
          <w:sz w:val="28"/>
          <w:szCs w:val="36"/>
          <w:lang w:val="az-Latn-AZ"/>
        </w:rPr>
      </w:pPr>
      <w:r>
        <w:rPr>
          <w:rFonts w:ascii="Times New Roman" w:eastAsia="Times New Roman" w:hAnsi="Times New Roman" w:cs="Times New Roman"/>
          <w:b/>
          <w:sz w:val="28"/>
          <w:szCs w:val="36"/>
          <w:lang w:val="az-Latn-AZ"/>
        </w:rPr>
        <w:t>GÖMRÜK İŞİ VƏ İDARƏETMƏ</w:t>
      </w:r>
      <w:r w:rsidR="00000000">
        <w:rPr>
          <w:rFonts w:ascii="Times New Roman" w:eastAsia="Times New Roman" w:hAnsi="Times New Roman" w:cs="Times New Roman"/>
          <w:b/>
          <w:sz w:val="28"/>
          <w:szCs w:val="36"/>
          <w:lang w:val="az-Latn-AZ"/>
        </w:rPr>
        <w:t xml:space="preserve"> KAFEDRASI</w:t>
      </w:r>
    </w:p>
    <w:p w14:paraId="122E18AD" w14:textId="77777777" w:rsidR="001F6AF2" w:rsidRDefault="00000000">
      <w:pPr>
        <w:spacing w:line="360" w:lineRule="auto"/>
        <w:ind w:firstLine="360"/>
        <w:jc w:val="both"/>
        <w:rPr>
          <w:rFonts w:ascii="Times New Roman" w:eastAsia="Times New Roman" w:hAnsi="Times New Roman" w:cs="Times New Roman"/>
          <w:b/>
          <w:sz w:val="28"/>
          <w:szCs w:val="36"/>
          <w:lang w:val="az-Latn-AZ"/>
        </w:rPr>
      </w:pPr>
      <w:r>
        <w:rPr>
          <w:rFonts w:ascii="Times New Roman" w:eastAsia="Times New Roman" w:hAnsi="Times New Roman" w:cs="Times New Roman"/>
          <w:b/>
          <w:sz w:val="28"/>
          <w:szCs w:val="36"/>
          <w:lang w:val="az-Latn-AZ"/>
        </w:rPr>
        <w:t xml:space="preserve">              </w:t>
      </w:r>
    </w:p>
    <w:p w14:paraId="0D756849" w14:textId="77777777" w:rsidR="001F6AF2" w:rsidRDefault="001F6AF2">
      <w:pPr>
        <w:spacing w:line="360" w:lineRule="auto"/>
        <w:ind w:firstLine="360"/>
        <w:jc w:val="center"/>
        <w:rPr>
          <w:rFonts w:ascii="Times New Roman" w:eastAsia="Times New Roman" w:hAnsi="Times New Roman" w:cs="Times New Roman"/>
          <w:b/>
          <w:sz w:val="28"/>
          <w:szCs w:val="36"/>
          <w:lang w:val="az-Latn-AZ"/>
        </w:rPr>
      </w:pPr>
    </w:p>
    <w:p w14:paraId="6C2E7E47" w14:textId="77777777" w:rsidR="001F6AF2" w:rsidRDefault="00000000">
      <w:pPr>
        <w:spacing w:line="360" w:lineRule="auto"/>
        <w:ind w:firstLine="360"/>
        <w:jc w:val="center"/>
        <w:rPr>
          <w:rFonts w:ascii="Times New Roman" w:eastAsia="Times New Roman" w:hAnsi="Times New Roman" w:cs="Times New Roman"/>
          <w:b/>
          <w:sz w:val="28"/>
          <w:szCs w:val="36"/>
          <w:lang w:val="az-Latn-AZ"/>
        </w:rPr>
      </w:pPr>
      <w:r>
        <w:rPr>
          <w:rFonts w:ascii="Times New Roman" w:eastAsia="Times New Roman" w:hAnsi="Times New Roman" w:cs="Times New Roman"/>
          <w:b/>
          <w:sz w:val="28"/>
          <w:szCs w:val="36"/>
          <w:lang w:val="az-Latn-AZ"/>
        </w:rPr>
        <w:t>“AZƏRBAYCAN XARİCİ TİCARƏTİNİN İNKİŞAFINDA SƏRHƏDDƏ TİCARƏT SƏMƏRƏLİLİK GÖSTƏRİCİLƏRİNİN TƏKMİNLƏŞDİRİLMƏSİ” mövzusunda</w:t>
      </w:r>
    </w:p>
    <w:p w14:paraId="4EAF47C1" w14:textId="77777777" w:rsidR="001F6AF2" w:rsidRDefault="00000000">
      <w:pPr>
        <w:spacing w:line="360" w:lineRule="auto"/>
        <w:ind w:firstLine="360"/>
        <w:jc w:val="center"/>
        <w:rPr>
          <w:rFonts w:ascii="Times New Roman" w:eastAsia="Times New Roman" w:hAnsi="Times New Roman" w:cs="Times New Roman"/>
          <w:b/>
          <w:sz w:val="28"/>
          <w:szCs w:val="36"/>
          <w:lang w:val="az-Latn-AZ"/>
        </w:rPr>
      </w:pPr>
      <w:r>
        <w:rPr>
          <w:rFonts w:ascii="Times New Roman" w:eastAsia="Times New Roman" w:hAnsi="Times New Roman" w:cs="Times New Roman"/>
          <w:b/>
          <w:sz w:val="28"/>
          <w:szCs w:val="36"/>
          <w:lang w:val="az-Latn-AZ"/>
        </w:rPr>
        <w:t>MAGİSTR DİSSERTASİYASI</w:t>
      </w:r>
    </w:p>
    <w:p w14:paraId="35608890" w14:textId="77777777" w:rsidR="001F6AF2" w:rsidRDefault="001F6AF2">
      <w:pPr>
        <w:spacing w:line="360" w:lineRule="auto"/>
        <w:ind w:firstLine="360"/>
        <w:jc w:val="center"/>
        <w:rPr>
          <w:rFonts w:ascii="Times New Roman" w:eastAsia="Times New Roman" w:hAnsi="Times New Roman" w:cs="Times New Roman"/>
          <w:b/>
          <w:sz w:val="28"/>
          <w:szCs w:val="36"/>
          <w:lang w:val="az-Latn-AZ"/>
        </w:rPr>
      </w:pPr>
    </w:p>
    <w:p w14:paraId="5363C0CC" w14:textId="77777777" w:rsidR="001F6AF2" w:rsidRDefault="00000000">
      <w:pPr>
        <w:spacing w:line="360" w:lineRule="auto"/>
        <w:ind w:firstLine="360"/>
        <w:jc w:val="both"/>
        <w:rPr>
          <w:rFonts w:ascii="Times New Roman" w:eastAsia="Times New Roman" w:hAnsi="Times New Roman" w:cs="Times New Roman"/>
          <w:b/>
          <w:sz w:val="28"/>
          <w:szCs w:val="36"/>
          <w:lang w:val="az-Latn-AZ"/>
        </w:rPr>
      </w:pPr>
      <w:r>
        <w:rPr>
          <w:rFonts w:ascii="Times New Roman" w:eastAsia="Times New Roman" w:hAnsi="Times New Roman" w:cs="Times New Roman"/>
          <w:b/>
          <w:sz w:val="28"/>
          <w:szCs w:val="36"/>
          <w:lang w:val="az-Latn-AZ"/>
        </w:rPr>
        <w:t xml:space="preserve">                      </w:t>
      </w:r>
    </w:p>
    <w:p w14:paraId="34E82CB3" w14:textId="77777777" w:rsidR="001F6AF2" w:rsidRDefault="001F6AF2">
      <w:pPr>
        <w:spacing w:line="360" w:lineRule="auto"/>
        <w:ind w:firstLine="360"/>
        <w:jc w:val="both"/>
        <w:rPr>
          <w:rFonts w:ascii="Times New Roman" w:eastAsia="Times New Roman" w:hAnsi="Times New Roman" w:cs="Times New Roman"/>
          <w:b/>
          <w:sz w:val="28"/>
          <w:szCs w:val="36"/>
          <w:lang w:val="az-Latn-AZ"/>
        </w:rPr>
      </w:pPr>
    </w:p>
    <w:p w14:paraId="4A0799A8" w14:textId="77777777" w:rsidR="001F6AF2" w:rsidRDefault="001F6AF2">
      <w:pPr>
        <w:spacing w:line="360" w:lineRule="auto"/>
        <w:ind w:firstLine="360"/>
        <w:jc w:val="both"/>
        <w:rPr>
          <w:rFonts w:ascii="Times New Roman" w:eastAsia="Times New Roman" w:hAnsi="Times New Roman" w:cs="Times New Roman"/>
          <w:b/>
          <w:sz w:val="28"/>
          <w:szCs w:val="36"/>
          <w:lang w:val="az-Latn-AZ"/>
        </w:rPr>
      </w:pPr>
    </w:p>
    <w:p w14:paraId="209E9893" w14:textId="77777777" w:rsidR="001F6AF2" w:rsidRDefault="00000000">
      <w:pPr>
        <w:spacing w:line="360" w:lineRule="auto"/>
        <w:ind w:firstLine="360"/>
        <w:jc w:val="center"/>
        <w:rPr>
          <w:rFonts w:ascii="Times New Roman" w:eastAsia="Times New Roman" w:hAnsi="Times New Roman" w:cs="Times New Roman"/>
          <w:b/>
          <w:sz w:val="28"/>
          <w:szCs w:val="36"/>
          <w:lang w:val="az-Latn-AZ"/>
        </w:rPr>
      </w:pPr>
      <w:r>
        <w:rPr>
          <w:rFonts w:ascii="Times New Roman" w:eastAsia="Times New Roman" w:hAnsi="Times New Roman" w:cs="Times New Roman"/>
          <w:b/>
          <w:sz w:val="28"/>
          <w:szCs w:val="36"/>
          <w:lang w:val="az-Latn-AZ"/>
        </w:rPr>
        <w:t>Magistrant:</w:t>
      </w:r>
      <w:r>
        <w:rPr>
          <w:rFonts w:ascii="Times New Roman" w:eastAsia="Times New Roman" w:hAnsi="Times New Roman" w:cs="Times New Roman"/>
          <w:b/>
          <w:sz w:val="28"/>
          <w:szCs w:val="36"/>
        </w:rPr>
        <w:t>D</w:t>
      </w:r>
      <w:proofErr w:type="spellStart"/>
      <w:r>
        <w:rPr>
          <w:rFonts w:ascii="Times New Roman" w:eastAsia="Times New Roman" w:hAnsi="Times New Roman" w:cs="Times New Roman"/>
          <w:b/>
          <w:sz w:val="28"/>
          <w:szCs w:val="36"/>
          <w:lang w:val="az-Latn-AZ"/>
        </w:rPr>
        <w:t>ünyamalıyev</w:t>
      </w:r>
      <w:proofErr w:type="spellEnd"/>
      <w:r>
        <w:rPr>
          <w:rFonts w:ascii="Times New Roman" w:eastAsia="Times New Roman" w:hAnsi="Times New Roman" w:cs="Times New Roman"/>
          <w:b/>
          <w:sz w:val="28"/>
          <w:szCs w:val="36"/>
          <w:lang w:val="az-Latn-AZ"/>
        </w:rPr>
        <w:t xml:space="preserve"> Əjdər Allahverdi oğlu</w:t>
      </w:r>
    </w:p>
    <w:p w14:paraId="7F50115F" w14:textId="77777777" w:rsidR="001F6AF2" w:rsidRDefault="00000000">
      <w:pPr>
        <w:spacing w:line="360" w:lineRule="auto"/>
        <w:ind w:firstLine="360"/>
        <w:jc w:val="center"/>
        <w:rPr>
          <w:rFonts w:ascii="Times New Roman" w:eastAsia="Times New Roman" w:hAnsi="Times New Roman" w:cs="Times New Roman"/>
          <w:b/>
          <w:sz w:val="28"/>
          <w:szCs w:val="36"/>
          <w:lang w:val="az-Latn-AZ"/>
        </w:rPr>
      </w:pPr>
      <w:r>
        <w:rPr>
          <w:rFonts w:ascii="Times New Roman" w:eastAsia="Times New Roman" w:hAnsi="Times New Roman" w:cs="Times New Roman"/>
          <w:b/>
          <w:sz w:val="28"/>
          <w:szCs w:val="36"/>
          <w:lang w:val="az-Latn-AZ"/>
        </w:rPr>
        <w:t xml:space="preserve">Elmi Rəhbər: </w:t>
      </w:r>
      <w:proofErr w:type="spellStart"/>
      <w:r>
        <w:rPr>
          <w:rFonts w:ascii="Times New Roman" w:eastAsia="Times New Roman" w:hAnsi="Times New Roman" w:cs="Times New Roman"/>
          <w:b/>
          <w:sz w:val="28"/>
          <w:szCs w:val="36"/>
          <w:lang w:val="az-Latn-AZ"/>
        </w:rPr>
        <w:t>i.f.d</w:t>
      </w:r>
      <w:proofErr w:type="spellEnd"/>
      <w:r>
        <w:rPr>
          <w:rFonts w:ascii="Times New Roman" w:eastAsia="Times New Roman" w:hAnsi="Times New Roman" w:cs="Times New Roman"/>
          <w:b/>
          <w:sz w:val="28"/>
          <w:szCs w:val="36"/>
          <w:lang w:val="az-Latn-AZ"/>
        </w:rPr>
        <w:t xml:space="preserve">., </w:t>
      </w:r>
      <w:proofErr w:type="spellStart"/>
      <w:r>
        <w:rPr>
          <w:rFonts w:ascii="Times New Roman" w:eastAsia="Times New Roman" w:hAnsi="Times New Roman" w:cs="Times New Roman"/>
          <w:b/>
          <w:sz w:val="28"/>
          <w:szCs w:val="36"/>
          <w:lang w:val="az-Latn-AZ"/>
        </w:rPr>
        <w:t>dos</w:t>
      </w:r>
      <w:proofErr w:type="spellEnd"/>
      <w:r>
        <w:rPr>
          <w:rFonts w:ascii="Times New Roman" w:eastAsia="Times New Roman" w:hAnsi="Times New Roman" w:cs="Times New Roman"/>
          <w:b/>
          <w:sz w:val="28"/>
          <w:szCs w:val="36"/>
          <w:lang w:val="az-Latn-AZ"/>
        </w:rPr>
        <w:t>. Süleymanov Arzu Sahib oğlu</w:t>
      </w:r>
    </w:p>
    <w:p w14:paraId="3DB75EC6" w14:textId="77777777" w:rsidR="001F6AF2" w:rsidRDefault="001F6AF2">
      <w:pPr>
        <w:spacing w:line="360" w:lineRule="auto"/>
        <w:ind w:firstLine="360"/>
        <w:jc w:val="center"/>
        <w:rPr>
          <w:rFonts w:ascii="Times New Roman" w:eastAsia="Times New Roman" w:hAnsi="Times New Roman" w:cs="Times New Roman"/>
          <w:b/>
          <w:sz w:val="28"/>
          <w:szCs w:val="36"/>
          <w:lang w:val="az-Latn-AZ"/>
        </w:rPr>
      </w:pPr>
    </w:p>
    <w:p w14:paraId="3EBBB61C" w14:textId="77777777" w:rsidR="001F6AF2" w:rsidRDefault="001F6AF2">
      <w:pPr>
        <w:spacing w:line="360" w:lineRule="auto"/>
        <w:ind w:firstLine="360"/>
        <w:jc w:val="center"/>
        <w:rPr>
          <w:rFonts w:ascii="Times New Roman" w:eastAsia="Times New Roman" w:hAnsi="Times New Roman" w:cs="Times New Roman"/>
          <w:b/>
          <w:sz w:val="28"/>
          <w:szCs w:val="36"/>
          <w:lang w:val="az-Latn-AZ"/>
        </w:rPr>
      </w:pPr>
    </w:p>
    <w:p w14:paraId="42462464" w14:textId="77777777" w:rsidR="001F6AF2" w:rsidRDefault="001F6AF2">
      <w:pPr>
        <w:spacing w:line="360" w:lineRule="auto"/>
        <w:ind w:firstLine="360"/>
        <w:jc w:val="center"/>
        <w:rPr>
          <w:rFonts w:ascii="Times New Roman" w:eastAsia="Times New Roman" w:hAnsi="Times New Roman" w:cs="Times New Roman"/>
          <w:b/>
          <w:sz w:val="28"/>
          <w:szCs w:val="36"/>
          <w:lang w:val="az-Latn-AZ"/>
        </w:rPr>
      </w:pPr>
    </w:p>
    <w:p w14:paraId="17EEF077" w14:textId="77777777" w:rsidR="001F6AF2" w:rsidRDefault="001F6AF2">
      <w:pPr>
        <w:spacing w:line="360" w:lineRule="auto"/>
        <w:ind w:firstLine="360"/>
        <w:jc w:val="center"/>
        <w:rPr>
          <w:rFonts w:ascii="Times New Roman" w:eastAsia="Times New Roman" w:hAnsi="Times New Roman" w:cs="Times New Roman"/>
          <w:b/>
          <w:sz w:val="28"/>
          <w:szCs w:val="36"/>
          <w:lang w:val="az-Latn-AZ"/>
        </w:rPr>
      </w:pPr>
    </w:p>
    <w:p w14:paraId="448BBA6E" w14:textId="77777777" w:rsidR="001F6AF2" w:rsidRDefault="001F6AF2">
      <w:pPr>
        <w:spacing w:line="360" w:lineRule="auto"/>
        <w:rPr>
          <w:rFonts w:ascii="Times New Roman" w:eastAsia="Times New Roman" w:hAnsi="Times New Roman" w:cs="Times New Roman"/>
          <w:b/>
          <w:sz w:val="28"/>
          <w:szCs w:val="36"/>
          <w:lang w:val="az-Latn-AZ"/>
        </w:rPr>
      </w:pPr>
    </w:p>
    <w:p w14:paraId="3F7BE674" w14:textId="77777777" w:rsidR="001F6AF2" w:rsidRDefault="001F6AF2">
      <w:pPr>
        <w:spacing w:line="360" w:lineRule="auto"/>
        <w:ind w:firstLine="360"/>
        <w:jc w:val="center"/>
        <w:rPr>
          <w:rFonts w:ascii="Times New Roman" w:eastAsia="Times New Roman" w:hAnsi="Times New Roman" w:cs="Times New Roman"/>
          <w:b/>
          <w:sz w:val="28"/>
          <w:szCs w:val="36"/>
          <w:lang w:val="az-Latn-AZ"/>
        </w:rPr>
      </w:pPr>
    </w:p>
    <w:p w14:paraId="0F44B77A" w14:textId="77777777" w:rsidR="001F6AF2" w:rsidRDefault="00000000">
      <w:pPr>
        <w:spacing w:line="360" w:lineRule="auto"/>
        <w:ind w:firstLine="360"/>
        <w:jc w:val="center"/>
        <w:rPr>
          <w:rFonts w:ascii="Times New Roman" w:hAnsi="Times New Roman" w:cs="Times New Roman"/>
        </w:rPr>
      </w:pPr>
      <w:r>
        <w:rPr>
          <w:rFonts w:ascii="Times New Roman" w:eastAsia="Times New Roman" w:hAnsi="Times New Roman" w:cs="Times New Roman"/>
          <w:b/>
          <w:sz w:val="28"/>
          <w:szCs w:val="36"/>
          <w:lang w:val="az-Latn-AZ"/>
        </w:rPr>
        <w:t>B A K I - 2026</w:t>
      </w:r>
      <w:r>
        <w:rPr>
          <w:rFonts w:ascii="Times New Roman" w:hAnsi="Times New Roman" w:cs="Times New Roman"/>
        </w:rPr>
        <w:t xml:space="preserve">        </w:t>
      </w:r>
    </w:p>
    <w:p w14:paraId="5A3F73CC" w14:textId="77777777" w:rsidR="001F6AF2" w:rsidRDefault="00000000">
      <w:pPr>
        <w:spacing w:line="240" w:lineRule="auto"/>
        <w:ind w:firstLine="360"/>
        <w:jc w:val="right"/>
        <w:rPr>
          <w:rFonts w:ascii="Times New Roman" w:hAnsi="Times New Roman" w:cs="Times New Roman"/>
          <w:b/>
          <w:bCs/>
          <w:sz w:val="28"/>
          <w:szCs w:val="28"/>
        </w:rPr>
      </w:pPr>
      <w:r>
        <w:rPr>
          <w:rFonts w:ascii="Times New Roman" w:hAnsi="Times New Roman" w:cs="Times New Roman"/>
          <w:b/>
          <w:bCs/>
          <w:sz w:val="28"/>
          <w:szCs w:val="28"/>
        </w:rPr>
        <w:lastRenderedPageBreak/>
        <w:t>DGKA-</w:t>
      </w:r>
      <w:proofErr w:type="spellStart"/>
      <w:r>
        <w:rPr>
          <w:rFonts w:ascii="Times New Roman" w:hAnsi="Times New Roman" w:cs="Times New Roman"/>
          <w:b/>
          <w:bCs/>
          <w:sz w:val="28"/>
          <w:szCs w:val="28"/>
        </w:rPr>
        <w:t>nın</w:t>
      </w:r>
      <w:proofErr w:type="spellEnd"/>
      <w:r>
        <w:rPr>
          <w:rFonts w:ascii="Times New Roman" w:hAnsi="Times New Roman" w:cs="Times New Roman"/>
          <w:b/>
          <w:bCs/>
          <w:sz w:val="28"/>
          <w:szCs w:val="28"/>
        </w:rPr>
        <w:t xml:space="preserve"> Elmi </w:t>
      </w:r>
      <w:proofErr w:type="spellStart"/>
      <w:r>
        <w:rPr>
          <w:rFonts w:ascii="Times New Roman" w:hAnsi="Times New Roman" w:cs="Times New Roman"/>
          <w:b/>
          <w:bCs/>
          <w:sz w:val="28"/>
          <w:szCs w:val="28"/>
        </w:rPr>
        <w:t>işlər</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üzrə</w:t>
      </w:r>
      <w:proofErr w:type="spellEnd"/>
      <w:r>
        <w:rPr>
          <w:rFonts w:ascii="Times New Roman" w:hAnsi="Times New Roman" w:cs="Times New Roman"/>
          <w:b/>
          <w:bCs/>
          <w:sz w:val="28"/>
          <w:szCs w:val="28"/>
        </w:rPr>
        <w:t xml:space="preserve"> </w:t>
      </w:r>
    </w:p>
    <w:p w14:paraId="4F4A46F4" w14:textId="77777777" w:rsidR="001F6AF2" w:rsidRDefault="00000000">
      <w:pPr>
        <w:spacing w:line="240" w:lineRule="auto"/>
        <w:ind w:firstLine="360"/>
        <w:jc w:val="right"/>
        <w:rPr>
          <w:rFonts w:ascii="Times New Roman" w:hAnsi="Times New Roman" w:cs="Times New Roman"/>
          <w:b/>
          <w:bCs/>
          <w:sz w:val="28"/>
          <w:szCs w:val="28"/>
        </w:rPr>
      </w:pPr>
      <w:proofErr w:type="spellStart"/>
      <w:r>
        <w:rPr>
          <w:rFonts w:ascii="Times New Roman" w:hAnsi="Times New Roman" w:cs="Times New Roman"/>
          <w:b/>
          <w:bCs/>
          <w:sz w:val="28"/>
          <w:szCs w:val="28"/>
        </w:rPr>
        <w:t>Rəis</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müavini</w:t>
      </w:r>
      <w:proofErr w:type="spellEnd"/>
    </w:p>
    <w:p w14:paraId="6F90E36B" w14:textId="77777777" w:rsidR="001F6AF2" w:rsidRDefault="00000000">
      <w:pPr>
        <w:spacing w:line="240" w:lineRule="auto"/>
        <w:ind w:firstLine="360"/>
        <w:jc w:val="right"/>
        <w:rPr>
          <w:rFonts w:ascii="Times New Roman" w:hAnsi="Times New Roman" w:cs="Times New Roman"/>
          <w:b/>
          <w:bCs/>
          <w:sz w:val="28"/>
          <w:szCs w:val="28"/>
        </w:rPr>
      </w:pPr>
      <w:proofErr w:type="spellStart"/>
      <w:r>
        <w:rPr>
          <w:rFonts w:ascii="Times New Roman" w:hAnsi="Times New Roman" w:cs="Times New Roman"/>
          <w:b/>
          <w:bCs/>
          <w:sz w:val="28"/>
          <w:szCs w:val="28"/>
        </w:rPr>
        <w:t>Cəmilə</w:t>
      </w:r>
      <w:proofErr w:type="spellEnd"/>
      <w:r>
        <w:rPr>
          <w:rFonts w:ascii="Times New Roman" w:hAnsi="Times New Roman" w:cs="Times New Roman"/>
          <w:b/>
          <w:bCs/>
          <w:sz w:val="28"/>
          <w:szCs w:val="28"/>
        </w:rPr>
        <w:t xml:space="preserve"> Namazova</w:t>
      </w:r>
    </w:p>
    <w:p w14:paraId="2471657A" w14:textId="77777777" w:rsidR="001F6AF2" w:rsidRDefault="001F6AF2">
      <w:pPr>
        <w:spacing w:line="240" w:lineRule="auto"/>
        <w:ind w:firstLine="360"/>
        <w:jc w:val="right"/>
        <w:rPr>
          <w:rFonts w:ascii="Times New Roman" w:hAnsi="Times New Roman" w:cs="Times New Roman"/>
          <w:b/>
          <w:bCs/>
          <w:sz w:val="28"/>
          <w:szCs w:val="28"/>
        </w:rPr>
      </w:pPr>
    </w:p>
    <w:p w14:paraId="2D4EB87D" w14:textId="77777777" w:rsidR="001F6AF2" w:rsidRDefault="00000000">
      <w:pPr>
        <w:spacing w:line="240" w:lineRule="auto"/>
        <w:ind w:firstLine="360"/>
        <w:jc w:val="right"/>
        <w:rPr>
          <w:rFonts w:ascii="Times New Roman" w:hAnsi="Times New Roman" w:cs="Times New Roman"/>
          <w:b/>
          <w:bCs/>
          <w:sz w:val="28"/>
          <w:szCs w:val="28"/>
        </w:rPr>
      </w:pPr>
      <w:proofErr w:type="spellStart"/>
      <w:r>
        <w:rPr>
          <w:rFonts w:ascii="Times New Roman" w:hAnsi="Times New Roman" w:cs="Times New Roman"/>
          <w:b/>
          <w:bCs/>
          <w:sz w:val="28"/>
          <w:szCs w:val="28"/>
        </w:rPr>
        <w:t>Təsdiq</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edirəm</w:t>
      </w:r>
      <w:proofErr w:type="spellEnd"/>
      <w:r>
        <w:rPr>
          <w:rFonts w:ascii="Times New Roman" w:hAnsi="Times New Roman" w:cs="Times New Roman"/>
          <w:b/>
          <w:bCs/>
          <w:sz w:val="28"/>
          <w:szCs w:val="28"/>
        </w:rPr>
        <w:t xml:space="preserve"> </w:t>
      </w:r>
    </w:p>
    <w:p w14:paraId="40084B9B" w14:textId="77777777" w:rsidR="001F6AF2" w:rsidRDefault="00000000">
      <w:pPr>
        <w:spacing w:line="240" w:lineRule="auto"/>
        <w:ind w:firstLine="360"/>
        <w:jc w:val="right"/>
        <w:rPr>
          <w:rFonts w:ascii="Times New Roman" w:hAnsi="Times New Roman" w:cs="Times New Roman"/>
          <w:b/>
          <w:bCs/>
          <w:sz w:val="28"/>
          <w:szCs w:val="28"/>
        </w:rPr>
      </w:pPr>
      <w:r>
        <w:rPr>
          <w:rFonts w:ascii="Times New Roman" w:hAnsi="Times New Roman" w:cs="Times New Roman"/>
          <w:b/>
          <w:bCs/>
          <w:sz w:val="28"/>
          <w:szCs w:val="28"/>
        </w:rPr>
        <w:t xml:space="preserve">_______________ </w:t>
      </w:r>
    </w:p>
    <w:p w14:paraId="19495BFE" w14:textId="77777777" w:rsidR="001F6AF2" w:rsidRDefault="00000000">
      <w:pPr>
        <w:spacing w:line="240" w:lineRule="auto"/>
        <w:ind w:firstLine="360"/>
        <w:jc w:val="right"/>
        <w:rPr>
          <w:rFonts w:ascii="Times New Roman" w:hAnsi="Times New Roman" w:cs="Times New Roman"/>
          <w:b/>
          <w:bCs/>
          <w:sz w:val="28"/>
          <w:szCs w:val="28"/>
        </w:rPr>
      </w:pPr>
      <w:r>
        <w:rPr>
          <w:rFonts w:ascii="Times New Roman" w:hAnsi="Times New Roman" w:cs="Times New Roman"/>
          <w:b/>
          <w:bCs/>
          <w:sz w:val="28"/>
          <w:szCs w:val="28"/>
        </w:rPr>
        <w:t>“___</w:t>
      </w:r>
      <w:proofErr w:type="gramStart"/>
      <w:r>
        <w:rPr>
          <w:rFonts w:ascii="Times New Roman" w:hAnsi="Times New Roman" w:cs="Times New Roman"/>
          <w:b/>
          <w:bCs/>
          <w:sz w:val="28"/>
          <w:szCs w:val="28"/>
        </w:rPr>
        <w:t>_”_</w:t>
      </w:r>
      <w:proofErr w:type="gramEnd"/>
      <w:r>
        <w:rPr>
          <w:rFonts w:ascii="Times New Roman" w:hAnsi="Times New Roman" w:cs="Times New Roman"/>
          <w:b/>
          <w:bCs/>
          <w:sz w:val="28"/>
          <w:szCs w:val="28"/>
        </w:rPr>
        <w:t>____” 202__-ci il</w:t>
      </w:r>
    </w:p>
    <w:p w14:paraId="2E5ADB38" w14:textId="77777777" w:rsidR="001F6AF2" w:rsidRDefault="00000000">
      <w:pPr>
        <w:spacing w:line="240" w:lineRule="auto"/>
        <w:ind w:firstLine="360"/>
        <w:jc w:val="center"/>
        <w:rPr>
          <w:rFonts w:ascii="Times New Roman" w:hAnsi="Times New Roman" w:cs="Times New Roman"/>
          <w:b/>
          <w:bCs/>
          <w:sz w:val="28"/>
          <w:szCs w:val="28"/>
        </w:rPr>
      </w:pPr>
      <w:r>
        <w:rPr>
          <w:rFonts w:ascii="Times New Roman" w:hAnsi="Times New Roman" w:cs="Times New Roman"/>
          <w:b/>
          <w:bCs/>
          <w:sz w:val="28"/>
          <w:szCs w:val="28"/>
        </w:rPr>
        <w:t xml:space="preserve"> </w:t>
      </w:r>
    </w:p>
    <w:p w14:paraId="6E98B2CE" w14:textId="205A19B3" w:rsidR="001F6AF2" w:rsidRDefault="00000000">
      <w:pPr>
        <w:spacing w:line="240" w:lineRule="auto"/>
        <w:ind w:firstLine="360"/>
        <w:jc w:val="center"/>
        <w:rPr>
          <w:rFonts w:ascii="Times New Roman" w:hAnsi="Times New Roman" w:cs="Times New Roman"/>
          <w:b/>
          <w:bCs/>
          <w:sz w:val="28"/>
          <w:szCs w:val="28"/>
        </w:rPr>
      </w:pPr>
      <w:r>
        <w:rPr>
          <w:rFonts w:ascii="Times New Roman" w:hAnsi="Times New Roman" w:cs="Times New Roman"/>
          <w:b/>
          <w:bCs/>
          <w:sz w:val="28"/>
          <w:szCs w:val="28"/>
        </w:rPr>
        <w:t xml:space="preserve">AZƏRBAYCAN RESPUBLİKASI </w:t>
      </w:r>
    </w:p>
    <w:p w14:paraId="73108344" w14:textId="77777777" w:rsidR="001F6AF2" w:rsidRDefault="00000000">
      <w:pPr>
        <w:spacing w:line="240" w:lineRule="auto"/>
        <w:ind w:firstLine="360"/>
        <w:jc w:val="center"/>
        <w:rPr>
          <w:rFonts w:ascii="Times New Roman" w:hAnsi="Times New Roman" w:cs="Times New Roman"/>
          <w:b/>
          <w:bCs/>
          <w:sz w:val="28"/>
          <w:szCs w:val="28"/>
        </w:rPr>
      </w:pPr>
      <w:r>
        <w:rPr>
          <w:rFonts w:ascii="Times New Roman" w:hAnsi="Times New Roman" w:cs="Times New Roman"/>
          <w:b/>
          <w:bCs/>
          <w:sz w:val="28"/>
          <w:szCs w:val="28"/>
        </w:rPr>
        <w:t>DÖVLƏT GÖMRÜK KOMİTƏSİNİN AKADEMİYASI</w:t>
      </w:r>
    </w:p>
    <w:p w14:paraId="5B88C069" w14:textId="77777777" w:rsidR="001F6AF2" w:rsidRDefault="00000000">
      <w:pPr>
        <w:spacing w:line="240" w:lineRule="auto"/>
        <w:ind w:firstLine="360"/>
        <w:jc w:val="center"/>
        <w:rPr>
          <w:rFonts w:ascii="Times New Roman" w:hAnsi="Times New Roman" w:cs="Times New Roman"/>
          <w:b/>
          <w:bCs/>
          <w:sz w:val="28"/>
          <w:szCs w:val="28"/>
        </w:rPr>
      </w:pPr>
      <w:r>
        <w:rPr>
          <w:rFonts w:ascii="Times New Roman" w:hAnsi="Times New Roman" w:cs="Times New Roman"/>
          <w:b/>
          <w:bCs/>
          <w:sz w:val="28"/>
          <w:szCs w:val="28"/>
        </w:rPr>
        <w:t>İXTİSAS FƏNLƏRİ KAFEDRASI</w:t>
      </w:r>
    </w:p>
    <w:p w14:paraId="284A6DF6" w14:textId="77777777" w:rsidR="001F6AF2" w:rsidRDefault="001F6AF2">
      <w:pPr>
        <w:spacing w:line="240" w:lineRule="auto"/>
        <w:ind w:firstLine="360"/>
        <w:jc w:val="center"/>
        <w:rPr>
          <w:rFonts w:ascii="Times New Roman" w:hAnsi="Times New Roman" w:cs="Times New Roman"/>
          <w:b/>
          <w:bCs/>
          <w:sz w:val="28"/>
          <w:szCs w:val="28"/>
        </w:rPr>
      </w:pPr>
    </w:p>
    <w:p w14:paraId="4A694CD6" w14:textId="77777777" w:rsidR="001F6AF2" w:rsidRDefault="00000000">
      <w:pPr>
        <w:spacing w:line="240" w:lineRule="auto"/>
        <w:ind w:firstLine="360"/>
        <w:jc w:val="center"/>
        <w:rPr>
          <w:rFonts w:ascii="Times New Roman" w:hAnsi="Times New Roman" w:cs="Times New Roman"/>
          <w:b/>
          <w:bCs/>
          <w:sz w:val="28"/>
          <w:szCs w:val="28"/>
        </w:rPr>
      </w:pPr>
      <w:r>
        <w:rPr>
          <w:rFonts w:ascii="Times New Roman" w:hAnsi="Times New Roman" w:cs="Times New Roman"/>
          <w:b/>
          <w:bCs/>
          <w:sz w:val="28"/>
          <w:szCs w:val="28"/>
        </w:rPr>
        <w:t>“</w:t>
      </w:r>
      <w:r>
        <w:rPr>
          <w:rFonts w:ascii="Times New Roman" w:eastAsia="Times New Roman" w:hAnsi="Times New Roman" w:cs="Times New Roman"/>
          <w:b/>
          <w:sz w:val="28"/>
          <w:szCs w:val="36"/>
          <w:lang w:val="az-Latn-AZ"/>
        </w:rPr>
        <w:t>AZƏRBAYCAN XARİCİ TİCARƏTİNİN İNKİŞAFINDA SƏRHƏDDƏ TİCARƏT SƏMƏRƏLİLİK GÖSTƏRİCİLƏRİNİN TƏKMİNLƏŞDİRİLMƏSİ</w:t>
      </w:r>
      <w:r>
        <w:rPr>
          <w:rFonts w:ascii="Times New Roman" w:hAnsi="Times New Roman" w:cs="Times New Roman"/>
          <w:b/>
          <w:bCs/>
          <w:sz w:val="28"/>
          <w:szCs w:val="28"/>
        </w:rPr>
        <w:t>”</w:t>
      </w:r>
    </w:p>
    <w:p w14:paraId="44B578BF" w14:textId="77777777" w:rsidR="001F6AF2" w:rsidRDefault="00000000">
      <w:pPr>
        <w:spacing w:line="240" w:lineRule="auto"/>
        <w:ind w:firstLine="360"/>
        <w:jc w:val="center"/>
        <w:rPr>
          <w:rFonts w:ascii="Times New Roman" w:hAnsi="Times New Roman" w:cs="Times New Roman"/>
          <w:b/>
          <w:bCs/>
          <w:sz w:val="28"/>
          <w:szCs w:val="28"/>
        </w:rPr>
      </w:pPr>
      <w:proofErr w:type="spellStart"/>
      <w:r>
        <w:rPr>
          <w:rFonts w:ascii="Times New Roman" w:hAnsi="Times New Roman" w:cs="Times New Roman"/>
          <w:b/>
          <w:bCs/>
          <w:sz w:val="28"/>
          <w:szCs w:val="28"/>
        </w:rPr>
        <w:t>mövzusunda</w:t>
      </w:r>
      <w:proofErr w:type="spellEnd"/>
    </w:p>
    <w:p w14:paraId="00E60A69" w14:textId="77777777" w:rsidR="001F6AF2" w:rsidRDefault="00000000">
      <w:pPr>
        <w:spacing w:line="240" w:lineRule="auto"/>
        <w:ind w:firstLine="360"/>
        <w:jc w:val="center"/>
        <w:rPr>
          <w:rFonts w:ascii="Times New Roman" w:hAnsi="Times New Roman" w:cs="Times New Roman"/>
          <w:b/>
          <w:bCs/>
          <w:sz w:val="28"/>
          <w:szCs w:val="28"/>
        </w:rPr>
      </w:pPr>
      <w:r>
        <w:rPr>
          <w:rFonts w:ascii="Times New Roman" w:hAnsi="Times New Roman" w:cs="Times New Roman"/>
          <w:b/>
          <w:bCs/>
          <w:sz w:val="28"/>
          <w:szCs w:val="28"/>
        </w:rPr>
        <w:t>MAGİSTR DİSSERTASİYASI</w:t>
      </w:r>
    </w:p>
    <w:p w14:paraId="142A1B84" w14:textId="77777777" w:rsidR="001F6AF2" w:rsidRDefault="00000000">
      <w:pPr>
        <w:spacing w:line="360" w:lineRule="auto"/>
        <w:jc w:val="both"/>
        <w:rPr>
          <w:rFonts w:ascii="Times New Roman" w:hAnsi="Times New Roman" w:cs="Times New Roman"/>
          <w:b/>
          <w:bCs/>
          <w:sz w:val="28"/>
          <w:szCs w:val="28"/>
        </w:rPr>
      </w:pPr>
      <w:proofErr w:type="spellStart"/>
      <w:r>
        <w:rPr>
          <w:rFonts w:ascii="Times New Roman" w:hAnsi="Times New Roman" w:cs="Times New Roman"/>
          <w:b/>
          <w:bCs/>
          <w:sz w:val="28"/>
          <w:szCs w:val="28"/>
        </w:rPr>
        <w:t>İxtisasın</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şifri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və</w:t>
      </w:r>
      <w:proofErr w:type="spellEnd"/>
      <w:r>
        <w:rPr>
          <w:rFonts w:ascii="Times New Roman" w:hAnsi="Times New Roman" w:cs="Times New Roman"/>
          <w:b/>
          <w:bCs/>
          <w:sz w:val="28"/>
          <w:szCs w:val="28"/>
        </w:rPr>
        <w:t xml:space="preserve"> </w:t>
      </w:r>
      <w:proofErr w:type="spellStart"/>
      <w:proofErr w:type="gramStart"/>
      <w:r>
        <w:rPr>
          <w:rFonts w:ascii="Times New Roman" w:hAnsi="Times New Roman" w:cs="Times New Roman"/>
          <w:b/>
          <w:bCs/>
          <w:sz w:val="28"/>
          <w:szCs w:val="28"/>
        </w:rPr>
        <w:t>adı</w:t>
      </w:r>
      <w:proofErr w:type="spellEnd"/>
      <w:r>
        <w:rPr>
          <w:rFonts w:ascii="Times New Roman" w:hAnsi="Times New Roman" w:cs="Times New Roman"/>
          <w:b/>
          <w:bCs/>
          <w:sz w:val="28"/>
          <w:szCs w:val="28"/>
        </w:rPr>
        <w:t>:_</w:t>
      </w:r>
      <w:proofErr w:type="gramEnd"/>
      <w:r>
        <w:rPr>
          <w:rFonts w:ascii="Times New Roman" w:hAnsi="Times New Roman" w:cs="Times New Roman"/>
          <w:b/>
          <w:bCs/>
          <w:sz w:val="28"/>
          <w:szCs w:val="28"/>
        </w:rPr>
        <w:t>_______________________</w:t>
      </w:r>
    </w:p>
    <w:p w14:paraId="2E6E415D" w14:textId="77777777" w:rsidR="001F6AF2" w:rsidRDefault="00000000">
      <w:pPr>
        <w:spacing w:line="360" w:lineRule="auto"/>
        <w:jc w:val="both"/>
        <w:rPr>
          <w:rFonts w:ascii="Times New Roman" w:hAnsi="Times New Roman" w:cs="Times New Roman"/>
          <w:b/>
          <w:bCs/>
          <w:sz w:val="28"/>
          <w:szCs w:val="28"/>
        </w:rPr>
      </w:pPr>
      <w:proofErr w:type="spellStart"/>
      <w:r>
        <w:rPr>
          <w:rFonts w:ascii="Times New Roman" w:hAnsi="Times New Roman" w:cs="Times New Roman"/>
          <w:b/>
          <w:bCs/>
          <w:sz w:val="28"/>
          <w:szCs w:val="28"/>
        </w:rPr>
        <w:t>İxtisaslaşma</w:t>
      </w:r>
      <w:proofErr w:type="spellEnd"/>
      <w:r>
        <w:rPr>
          <w:rFonts w:ascii="Times New Roman" w:hAnsi="Times New Roman" w:cs="Times New Roman"/>
          <w:b/>
          <w:bCs/>
          <w:sz w:val="28"/>
          <w:szCs w:val="28"/>
        </w:rPr>
        <w:t>: ______________________________</w:t>
      </w:r>
    </w:p>
    <w:p w14:paraId="56CE6AC8" w14:textId="77777777" w:rsidR="001F6AF2" w:rsidRDefault="00000000">
      <w:pPr>
        <w:spacing w:line="360" w:lineRule="auto"/>
        <w:jc w:val="both"/>
        <w:rPr>
          <w:rFonts w:ascii="Times New Roman" w:hAnsi="Times New Roman" w:cs="Times New Roman"/>
          <w:b/>
          <w:bCs/>
          <w:sz w:val="28"/>
          <w:szCs w:val="28"/>
        </w:rPr>
      </w:pPr>
      <w:proofErr w:type="spellStart"/>
      <w:proofErr w:type="gramStart"/>
      <w:r>
        <w:rPr>
          <w:rFonts w:ascii="Times New Roman" w:hAnsi="Times New Roman" w:cs="Times New Roman"/>
          <w:b/>
          <w:bCs/>
          <w:sz w:val="28"/>
          <w:szCs w:val="28"/>
        </w:rPr>
        <w:t>Qrup</w:t>
      </w:r>
      <w:proofErr w:type="spellEnd"/>
      <w:r>
        <w:rPr>
          <w:rFonts w:ascii="Times New Roman" w:hAnsi="Times New Roman" w:cs="Times New Roman"/>
          <w:b/>
          <w:bCs/>
          <w:sz w:val="28"/>
          <w:szCs w:val="28"/>
        </w:rPr>
        <w:t>: _</w:t>
      </w:r>
      <w:proofErr w:type="gramEnd"/>
      <w:r>
        <w:rPr>
          <w:rFonts w:ascii="Times New Roman" w:hAnsi="Times New Roman" w:cs="Times New Roman"/>
          <w:b/>
          <w:bCs/>
          <w:sz w:val="28"/>
          <w:szCs w:val="28"/>
        </w:rPr>
        <w:t>________</w:t>
      </w:r>
    </w:p>
    <w:p w14:paraId="47E3629E" w14:textId="77777777" w:rsidR="001F6AF2" w:rsidRDefault="00000000">
      <w:pPr>
        <w:spacing w:line="360" w:lineRule="auto"/>
        <w:jc w:val="both"/>
        <w:rPr>
          <w:rFonts w:ascii="Times New Roman" w:hAnsi="Times New Roman" w:cs="Times New Roman"/>
          <w:b/>
          <w:bCs/>
          <w:sz w:val="28"/>
          <w:szCs w:val="28"/>
        </w:rPr>
      </w:pPr>
      <w:proofErr w:type="spellStart"/>
      <w:r>
        <w:rPr>
          <w:rFonts w:ascii="Times New Roman" w:hAnsi="Times New Roman" w:cs="Times New Roman"/>
          <w:b/>
          <w:bCs/>
          <w:sz w:val="28"/>
          <w:szCs w:val="28"/>
        </w:rPr>
        <w:t>Magistrant</w:t>
      </w:r>
      <w:proofErr w:type="spellEnd"/>
      <w:r>
        <w:rPr>
          <w:rFonts w:ascii="Times New Roman" w:hAnsi="Times New Roman" w:cs="Times New Roman"/>
          <w:b/>
          <w:bCs/>
          <w:sz w:val="28"/>
          <w:szCs w:val="28"/>
        </w:rPr>
        <w:t xml:space="preserve"> (S.A.A.)  __________________________________________</w:t>
      </w:r>
      <w:proofErr w:type="spellStart"/>
      <w:r>
        <w:rPr>
          <w:rFonts w:ascii="Times New Roman" w:hAnsi="Times New Roman" w:cs="Times New Roman"/>
          <w:b/>
          <w:bCs/>
          <w:sz w:val="28"/>
          <w:szCs w:val="28"/>
        </w:rPr>
        <w:t>imza</w:t>
      </w:r>
      <w:proofErr w:type="spellEnd"/>
    </w:p>
    <w:p w14:paraId="794B3564" w14:textId="77777777" w:rsidR="001F6AF2" w:rsidRDefault="00000000">
      <w:pPr>
        <w:spacing w:line="360" w:lineRule="auto"/>
        <w:jc w:val="both"/>
        <w:rPr>
          <w:rFonts w:ascii="Times New Roman" w:hAnsi="Times New Roman" w:cs="Times New Roman"/>
          <w:b/>
          <w:bCs/>
          <w:sz w:val="28"/>
          <w:szCs w:val="28"/>
        </w:rPr>
      </w:pPr>
      <w:proofErr w:type="spellStart"/>
      <w:r>
        <w:rPr>
          <w:rFonts w:ascii="Times New Roman" w:hAnsi="Times New Roman" w:cs="Times New Roman"/>
          <w:b/>
          <w:bCs/>
          <w:sz w:val="28"/>
          <w:szCs w:val="28"/>
        </w:rPr>
        <w:t>Proqram</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rəhbəri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elmi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dərəcəsi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və</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elmi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adı</w:t>
      </w:r>
      <w:proofErr w:type="spellEnd"/>
      <w:r>
        <w:rPr>
          <w:rFonts w:ascii="Times New Roman" w:hAnsi="Times New Roman" w:cs="Times New Roman"/>
          <w:b/>
          <w:bCs/>
          <w:sz w:val="28"/>
          <w:szCs w:val="28"/>
        </w:rPr>
        <w:t xml:space="preserve"> S.A.A) ____________________</w:t>
      </w:r>
      <w:proofErr w:type="spellStart"/>
      <w:r>
        <w:rPr>
          <w:rFonts w:ascii="Times New Roman" w:hAnsi="Times New Roman" w:cs="Times New Roman"/>
          <w:b/>
          <w:bCs/>
          <w:sz w:val="28"/>
          <w:szCs w:val="28"/>
        </w:rPr>
        <w:t>imza</w:t>
      </w:r>
      <w:proofErr w:type="spellEnd"/>
    </w:p>
    <w:p w14:paraId="554C300B" w14:textId="77777777" w:rsidR="001F6AF2" w:rsidRDefault="00000000">
      <w:pPr>
        <w:spacing w:line="360" w:lineRule="auto"/>
        <w:jc w:val="both"/>
        <w:rPr>
          <w:rFonts w:ascii="Times New Roman" w:hAnsi="Times New Roman" w:cs="Times New Roman"/>
          <w:b/>
          <w:bCs/>
          <w:sz w:val="28"/>
          <w:szCs w:val="28"/>
        </w:rPr>
      </w:pPr>
      <w:proofErr w:type="spellStart"/>
      <w:r>
        <w:rPr>
          <w:rFonts w:ascii="Times New Roman" w:hAnsi="Times New Roman" w:cs="Times New Roman"/>
          <w:b/>
          <w:bCs/>
          <w:sz w:val="28"/>
          <w:szCs w:val="28"/>
        </w:rPr>
        <w:t>Kafedra</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müdiri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elmi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dərəcəsi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və</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elmi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adı</w:t>
      </w:r>
      <w:proofErr w:type="spellEnd"/>
      <w:r>
        <w:rPr>
          <w:rFonts w:ascii="Times New Roman" w:hAnsi="Times New Roman" w:cs="Times New Roman"/>
          <w:b/>
          <w:bCs/>
          <w:sz w:val="28"/>
          <w:szCs w:val="28"/>
        </w:rPr>
        <w:t>, S.A.A) _____________________</w:t>
      </w:r>
      <w:proofErr w:type="spellStart"/>
      <w:r>
        <w:rPr>
          <w:rFonts w:ascii="Times New Roman" w:hAnsi="Times New Roman" w:cs="Times New Roman"/>
          <w:b/>
          <w:bCs/>
          <w:sz w:val="28"/>
          <w:szCs w:val="28"/>
        </w:rPr>
        <w:t>imza</w:t>
      </w:r>
      <w:proofErr w:type="spellEnd"/>
    </w:p>
    <w:p w14:paraId="66DBF36E" w14:textId="77777777" w:rsidR="001F6AF2" w:rsidRDefault="00000000">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Elmi </w:t>
      </w:r>
      <w:proofErr w:type="spellStart"/>
      <w:r>
        <w:rPr>
          <w:rFonts w:ascii="Times New Roman" w:hAnsi="Times New Roman" w:cs="Times New Roman"/>
          <w:b/>
          <w:bCs/>
          <w:sz w:val="28"/>
          <w:szCs w:val="28"/>
        </w:rPr>
        <w:t>rəhbər</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elmi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dərəcəsi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və</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elmi</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adı</w:t>
      </w:r>
      <w:proofErr w:type="spellEnd"/>
      <w:r>
        <w:rPr>
          <w:rFonts w:ascii="Times New Roman" w:hAnsi="Times New Roman" w:cs="Times New Roman"/>
          <w:b/>
          <w:bCs/>
          <w:sz w:val="28"/>
          <w:szCs w:val="28"/>
        </w:rPr>
        <w:t>, S.A.A.) _</w:t>
      </w:r>
      <w:proofErr w:type="spellStart"/>
      <w:r>
        <w:rPr>
          <w:rFonts w:ascii="Times New Roman" w:hAnsi="Times New Roman" w:cs="Times New Roman"/>
          <w:b/>
          <w:bCs/>
          <w:sz w:val="28"/>
          <w:szCs w:val="28"/>
        </w:rPr>
        <w:t>i.f.d.</w:t>
      </w:r>
      <w:proofErr w:type="spellEnd"/>
      <w:r>
        <w:rPr>
          <w:rFonts w:ascii="Times New Roman" w:hAnsi="Times New Roman" w:cs="Times New Roman"/>
          <w:b/>
          <w:bCs/>
          <w:sz w:val="28"/>
          <w:szCs w:val="28"/>
        </w:rPr>
        <w:t xml:space="preserve">, dos. Süleymanov Arzu Sahib </w:t>
      </w:r>
      <w:proofErr w:type="spellStart"/>
      <w:r>
        <w:rPr>
          <w:rFonts w:ascii="Times New Roman" w:hAnsi="Times New Roman" w:cs="Times New Roman"/>
          <w:b/>
          <w:bCs/>
          <w:sz w:val="28"/>
          <w:szCs w:val="28"/>
        </w:rPr>
        <w:t>oğlu</w:t>
      </w:r>
      <w:proofErr w:type="spellEnd"/>
      <w:r>
        <w:rPr>
          <w:rFonts w:ascii="Times New Roman" w:hAnsi="Times New Roman" w:cs="Times New Roman"/>
          <w:b/>
          <w:bCs/>
          <w:sz w:val="28"/>
          <w:szCs w:val="28"/>
        </w:rPr>
        <w:t>______________________</w:t>
      </w:r>
      <w:proofErr w:type="spellStart"/>
      <w:r>
        <w:rPr>
          <w:rFonts w:ascii="Times New Roman" w:hAnsi="Times New Roman" w:cs="Times New Roman"/>
          <w:b/>
          <w:bCs/>
          <w:sz w:val="28"/>
          <w:szCs w:val="28"/>
        </w:rPr>
        <w:t>imza</w:t>
      </w:r>
      <w:proofErr w:type="spellEnd"/>
    </w:p>
    <w:p w14:paraId="1F16B035" w14:textId="77777777" w:rsidR="001F6AF2" w:rsidRDefault="00000000">
      <w:pPr>
        <w:spacing w:line="240" w:lineRule="auto"/>
        <w:ind w:firstLine="360"/>
        <w:jc w:val="center"/>
        <w:rPr>
          <w:rFonts w:ascii="Times New Roman" w:eastAsia="Times New Roman" w:hAnsi="Times New Roman" w:cs="Times New Roman"/>
          <w:b/>
          <w:bCs/>
          <w:sz w:val="36"/>
          <w:szCs w:val="44"/>
          <w:lang w:val="az-Latn-AZ"/>
        </w:rPr>
      </w:pPr>
      <w:r>
        <w:rPr>
          <w:rFonts w:ascii="Times New Roman" w:hAnsi="Times New Roman" w:cs="Times New Roman"/>
          <w:b/>
          <w:bCs/>
          <w:sz w:val="28"/>
          <w:szCs w:val="28"/>
        </w:rPr>
        <w:t xml:space="preserve">BAKI – 2026                  </w:t>
      </w:r>
    </w:p>
    <w:p w14:paraId="4472B4A6" w14:textId="77777777" w:rsidR="001F6AF2" w:rsidRDefault="001F6AF2">
      <w:pPr>
        <w:spacing w:after="0" w:line="360" w:lineRule="auto"/>
        <w:jc w:val="center"/>
        <w:rPr>
          <w:rFonts w:ascii="Times New Roman" w:hAnsi="Times New Roman" w:cs="Times New Roman"/>
          <w:b/>
          <w:sz w:val="24"/>
          <w:szCs w:val="24"/>
          <w:lang w:val="az-Latn-AZ"/>
        </w:rPr>
        <w:sectPr w:rsidR="001F6AF2">
          <w:footerReference w:type="default" r:id="rId8"/>
          <w:pgSz w:w="11906" w:h="16838"/>
          <w:pgMar w:top="1134" w:right="851" w:bottom="1134" w:left="1701" w:header="709" w:footer="709" w:gutter="0"/>
          <w:pgNumType w:fmt="lowerRoman" w:start="1"/>
          <w:cols w:space="708"/>
          <w:docGrid w:linePitch="360"/>
        </w:sectPr>
      </w:pPr>
    </w:p>
    <w:p w14:paraId="7F892482" w14:textId="77777777" w:rsidR="001F6AF2" w:rsidRDefault="00000000">
      <w:pPr>
        <w:spacing w:after="0" w:line="360" w:lineRule="auto"/>
        <w:jc w:val="center"/>
        <w:rPr>
          <w:rFonts w:ascii="Times New Roman" w:hAnsi="Times New Roman" w:cs="Times New Roman"/>
          <w:b/>
          <w:sz w:val="24"/>
          <w:szCs w:val="24"/>
          <w:lang w:val="az-Latn-AZ"/>
        </w:rPr>
      </w:pPr>
      <w:r>
        <w:rPr>
          <w:rFonts w:ascii="Times New Roman" w:hAnsi="Times New Roman" w:cs="Times New Roman"/>
          <w:b/>
          <w:sz w:val="24"/>
          <w:szCs w:val="24"/>
          <w:lang w:val="az-Latn-AZ"/>
        </w:rPr>
        <w:t>“</w:t>
      </w:r>
      <w:r>
        <w:rPr>
          <w:rFonts w:ascii="Times New Roman" w:eastAsia="Times New Roman" w:hAnsi="Times New Roman" w:cs="Times New Roman"/>
          <w:b/>
          <w:sz w:val="28"/>
          <w:szCs w:val="36"/>
          <w:lang w:val="az-Latn-AZ"/>
        </w:rPr>
        <w:t>AZƏRBAYCAN XARİCİ TİCARƏTİNİN İNKİŞAFINDA SƏRHƏDDƏ TİCARƏT SƏMƏRƏLİLİK GÖSTƏRİCİLƏRİNİN TƏKMİNLƏŞDİRİLMƏSİ</w:t>
      </w:r>
      <w:r>
        <w:rPr>
          <w:rFonts w:ascii="Times New Roman" w:eastAsiaTheme="minorEastAsia" w:hAnsi="Times New Roman" w:cs="Times New Roman"/>
          <w:b/>
          <w:sz w:val="24"/>
          <w:szCs w:val="24"/>
          <w:lang w:val="az-Latn-AZ"/>
        </w:rPr>
        <w:t>”</w:t>
      </w:r>
    </w:p>
    <w:p w14:paraId="4B4A981F" w14:textId="77777777" w:rsidR="001F6AF2" w:rsidRDefault="001F6AF2">
      <w:pPr>
        <w:spacing w:after="0" w:line="240" w:lineRule="auto"/>
        <w:jc w:val="center"/>
        <w:rPr>
          <w:rFonts w:ascii="Times New Roman" w:hAnsi="Times New Roman" w:cs="Times New Roman"/>
          <w:b/>
          <w:sz w:val="24"/>
          <w:lang w:val="az-Latn-AZ"/>
        </w:rPr>
      </w:pPr>
    </w:p>
    <w:p w14:paraId="07BAB1B6" w14:textId="77777777" w:rsidR="001F6AF2" w:rsidRDefault="00000000">
      <w:pPr>
        <w:spacing w:after="0" w:line="360" w:lineRule="auto"/>
        <w:ind w:firstLine="709"/>
        <w:jc w:val="center"/>
        <w:rPr>
          <w:rFonts w:ascii="Times New Roman" w:hAnsi="Times New Roman" w:cs="Times New Roman"/>
          <w:b/>
          <w:sz w:val="28"/>
          <w:szCs w:val="28"/>
          <w:lang w:val="az-Latn-AZ"/>
        </w:rPr>
      </w:pPr>
      <w:r>
        <w:rPr>
          <w:rFonts w:ascii="Times New Roman" w:hAnsi="Times New Roman" w:cs="Times New Roman"/>
          <w:b/>
          <w:sz w:val="28"/>
          <w:szCs w:val="28"/>
          <w:lang w:val="az-Latn-AZ"/>
        </w:rPr>
        <w:t>XÜLASƏ</w:t>
      </w:r>
    </w:p>
    <w:p w14:paraId="20403B6E" w14:textId="77777777" w:rsidR="001F6AF2" w:rsidRDefault="00000000">
      <w:pPr>
        <w:spacing w:after="0" w:line="240" w:lineRule="auto"/>
        <w:ind w:firstLine="709"/>
        <w:jc w:val="both"/>
        <w:rPr>
          <w:rFonts w:ascii="Times New Roman" w:hAnsi="Times New Roman" w:cs="Times New Roman"/>
          <w:sz w:val="24"/>
          <w:szCs w:val="24"/>
          <w:lang w:val="tr-TR"/>
        </w:rPr>
      </w:pPr>
      <w:r>
        <w:rPr>
          <w:rFonts w:ascii="Times New Roman" w:hAnsi="Times New Roman" w:cs="Times New Roman"/>
          <w:sz w:val="24"/>
          <w:szCs w:val="24"/>
          <w:lang w:val="tr-TR"/>
        </w:rPr>
        <w:t>Tədqiqatın məqsədi – Azərbaycanda sərhəddə ticarət səmərəlilik göstəricilərinin mövcud vəziyyətini təhlil etmək və onların təkmilləşdirilməsi üzrə elmi əsaslandırılmış istiqamətlər müəyyənləşdirməkdir. Əsas vəzifələrə sərhəddə ticarətin iqtisadi mahiyyətinin öyrənilməsi, effektivlik göstəricilərinin qiymətləndirilməsi, gömrük-dəhliz idarəçiliyi və rəqəmsallaşma səviyyəsinin analizi, logistika maneələrinin müəyyən edilməsi və beynəlxalq təcrübə ilə müqayisə daxildir.</w:t>
      </w:r>
    </w:p>
    <w:p w14:paraId="5B34BA29" w14:textId="77777777" w:rsidR="001F6AF2" w:rsidRDefault="00000000">
      <w:pPr>
        <w:spacing w:after="0" w:line="240" w:lineRule="auto"/>
        <w:ind w:firstLine="709"/>
        <w:jc w:val="both"/>
        <w:rPr>
          <w:rFonts w:ascii="Times New Roman" w:hAnsi="Times New Roman" w:cs="Times New Roman"/>
          <w:sz w:val="24"/>
          <w:szCs w:val="24"/>
          <w:lang w:val="tr-TR"/>
        </w:rPr>
      </w:pPr>
      <w:r>
        <w:rPr>
          <w:rFonts w:ascii="Times New Roman" w:hAnsi="Times New Roman" w:cs="Times New Roman"/>
          <w:sz w:val="24"/>
          <w:szCs w:val="24"/>
          <w:lang w:val="tr-TR"/>
        </w:rPr>
        <w:t>Tədqiqatda sistemli yanaşma, müqayisəli təhlil, statistik analiz və beynəlxalq indekslərin qiymətləndirilməsi metodlarından istifadə edilmişdir.</w:t>
      </w:r>
    </w:p>
    <w:p w14:paraId="10D69083" w14:textId="77777777" w:rsidR="001F6AF2" w:rsidRDefault="00000000">
      <w:pPr>
        <w:spacing w:after="0" w:line="240" w:lineRule="auto"/>
        <w:ind w:firstLine="709"/>
        <w:jc w:val="both"/>
        <w:rPr>
          <w:rFonts w:ascii="Times New Roman" w:hAnsi="Times New Roman" w:cs="Times New Roman"/>
          <w:sz w:val="24"/>
          <w:szCs w:val="24"/>
          <w:lang w:val="tr-TR"/>
        </w:rPr>
      </w:pPr>
      <w:r>
        <w:rPr>
          <w:rFonts w:ascii="Times New Roman" w:hAnsi="Times New Roman" w:cs="Times New Roman"/>
          <w:sz w:val="24"/>
          <w:szCs w:val="24"/>
          <w:lang w:val="tr-TR"/>
        </w:rPr>
        <w:t>Dövlət Gömrük Komitəsi, Dövlət Statistika Komitəsi, WTO, WCO, OECD, UNCTAD məlumatları və yerli-xarici elmi mənbələrdən ibarətdir.</w:t>
      </w:r>
    </w:p>
    <w:p w14:paraId="1272AE5C" w14:textId="77777777" w:rsidR="001F6AF2" w:rsidRDefault="00000000">
      <w:pPr>
        <w:spacing w:after="0" w:line="240" w:lineRule="auto"/>
        <w:ind w:firstLine="709"/>
        <w:jc w:val="both"/>
        <w:rPr>
          <w:rFonts w:ascii="Times New Roman" w:hAnsi="Times New Roman" w:cs="Times New Roman"/>
          <w:sz w:val="24"/>
          <w:szCs w:val="24"/>
          <w:lang w:val="tr-TR"/>
        </w:rPr>
      </w:pPr>
      <w:r>
        <w:rPr>
          <w:rFonts w:ascii="Times New Roman" w:hAnsi="Times New Roman" w:cs="Times New Roman"/>
          <w:sz w:val="24"/>
          <w:szCs w:val="24"/>
          <w:lang w:val="tr-TR"/>
        </w:rPr>
        <w:t>Sərhəd məntəqələri üzrə vaxt-xərc məlumatlarının tam əlçatan olmaması, statistik metodların uyğunsuzluğu və bəzi məlumatların kommersiya sirri olması nəticələri məhdudlaşdırır.</w:t>
      </w:r>
    </w:p>
    <w:p w14:paraId="5497BECF" w14:textId="77777777" w:rsidR="001F6AF2" w:rsidRDefault="00000000">
      <w:pPr>
        <w:spacing w:after="0" w:line="240" w:lineRule="auto"/>
        <w:ind w:firstLine="709"/>
        <w:jc w:val="both"/>
        <w:rPr>
          <w:rFonts w:ascii="Times New Roman" w:hAnsi="Times New Roman" w:cs="Times New Roman"/>
          <w:sz w:val="24"/>
          <w:szCs w:val="24"/>
          <w:lang w:val="tr-TR"/>
        </w:rPr>
      </w:pPr>
      <w:r>
        <w:rPr>
          <w:rFonts w:ascii="Times New Roman" w:hAnsi="Times New Roman" w:cs="Times New Roman"/>
          <w:sz w:val="24"/>
          <w:szCs w:val="24"/>
          <w:lang w:val="tr-TR"/>
        </w:rPr>
        <w:t>Tədqiqat sərhəddə ticarət səmərəliliyinin çoxölçülü modelini təqdim edir, beynəlxalq standartları milli şəraitə uyğunlaşdırır və logistika-gömrük inteqrasiyasının optimallaşdırılması üçün yeni konseptual çərçivə təklif edir.</w:t>
      </w:r>
    </w:p>
    <w:p w14:paraId="5C7FFEAA" w14:textId="77777777" w:rsidR="001F6AF2" w:rsidRDefault="00000000">
      <w:pPr>
        <w:spacing w:after="0" w:line="240" w:lineRule="auto"/>
        <w:ind w:firstLine="709"/>
        <w:jc w:val="both"/>
        <w:rPr>
          <w:rFonts w:ascii="Times New Roman" w:hAnsi="Times New Roman" w:cs="Times New Roman"/>
          <w:sz w:val="24"/>
          <w:szCs w:val="24"/>
          <w:lang w:val="tr-TR"/>
        </w:rPr>
      </w:pPr>
      <w:r>
        <w:rPr>
          <w:rFonts w:ascii="Times New Roman" w:hAnsi="Times New Roman" w:cs="Times New Roman"/>
          <w:sz w:val="24"/>
          <w:szCs w:val="24"/>
          <w:lang w:val="tr-TR"/>
        </w:rPr>
        <w:t>Tədqiqatın nəticələri sərhəd prosedurlarının optimallaşdırılması, logistika xərclərinin azaldılması, rəqəmsal gömrük xidmətlərinin təkmilləşdirilməsi və Azərbaycanın xarici ticarətdə rəqabət qabiliyyətinin artırılması üçün praktik töhfələr verir.</w:t>
      </w:r>
    </w:p>
    <w:p w14:paraId="35599614" w14:textId="77777777" w:rsidR="001F6AF2" w:rsidRDefault="001F6AF2">
      <w:pPr>
        <w:spacing w:after="0" w:line="240" w:lineRule="auto"/>
        <w:ind w:firstLine="709"/>
        <w:jc w:val="both"/>
        <w:rPr>
          <w:rFonts w:ascii="Times New Roman" w:hAnsi="Times New Roman" w:cs="Times New Roman"/>
          <w:sz w:val="24"/>
          <w:szCs w:val="24"/>
          <w:lang w:val="tr-TR"/>
        </w:rPr>
      </w:pPr>
    </w:p>
    <w:p w14:paraId="48DF3A55" w14:textId="77777777" w:rsidR="001F6AF2" w:rsidRDefault="00000000">
      <w:pPr>
        <w:spacing w:after="0" w:line="240" w:lineRule="auto"/>
        <w:ind w:firstLine="709"/>
        <w:jc w:val="both"/>
        <w:rPr>
          <w:rFonts w:ascii="Times New Roman" w:hAnsi="Times New Roman" w:cs="Times New Roman"/>
          <w:i/>
          <w:iCs/>
          <w:sz w:val="24"/>
          <w:szCs w:val="24"/>
          <w:lang w:val="tr-TR"/>
        </w:rPr>
      </w:pPr>
      <w:r>
        <w:rPr>
          <w:rFonts w:ascii="Times New Roman" w:hAnsi="Times New Roman" w:cs="Times New Roman"/>
          <w:b/>
          <w:bCs/>
          <w:i/>
          <w:iCs/>
          <w:sz w:val="24"/>
          <w:szCs w:val="24"/>
          <w:lang w:val="tr-TR"/>
        </w:rPr>
        <w:t>Açar sözlər:</w:t>
      </w:r>
      <w:r>
        <w:rPr>
          <w:rFonts w:ascii="Times New Roman" w:hAnsi="Times New Roman" w:cs="Times New Roman"/>
          <w:i/>
          <w:iCs/>
          <w:sz w:val="24"/>
          <w:szCs w:val="24"/>
          <w:lang w:val="tr-TR"/>
        </w:rPr>
        <w:t xml:space="preserve"> sərhəddə ticarət, gömrük səmərəliliyi, logistika, rəqəmsallaşma, xarici ticarət</w:t>
      </w:r>
    </w:p>
    <w:p w14:paraId="36CDAA24" w14:textId="77777777" w:rsidR="001F6AF2" w:rsidRDefault="001F6AF2">
      <w:pPr>
        <w:spacing w:after="0" w:line="240" w:lineRule="auto"/>
        <w:ind w:firstLine="709"/>
        <w:jc w:val="both"/>
        <w:rPr>
          <w:rFonts w:ascii="Times New Roman" w:hAnsi="Times New Roman" w:cs="Times New Roman"/>
          <w:sz w:val="24"/>
          <w:szCs w:val="24"/>
          <w:lang w:val="az-Latn-AZ"/>
        </w:rPr>
      </w:pPr>
    </w:p>
    <w:p w14:paraId="0B050A10" w14:textId="77777777" w:rsidR="001F6AF2" w:rsidRDefault="001F6AF2">
      <w:pPr>
        <w:spacing w:after="0" w:line="240" w:lineRule="auto"/>
        <w:ind w:firstLine="709"/>
        <w:jc w:val="both"/>
        <w:rPr>
          <w:rFonts w:ascii="Times New Roman" w:eastAsiaTheme="minorHAnsi" w:hAnsi="Times New Roman" w:cs="Times New Roman"/>
          <w:sz w:val="24"/>
          <w:szCs w:val="24"/>
          <w:lang w:val="az-Latn-AZ"/>
        </w:rPr>
      </w:pPr>
    </w:p>
    <w:p w14:paraId="5B5FB944" w14:textId="77777777" w:rsidR="001F6AF2" w:rsidRDefault="001F6AF2">
      <w:pPr>
        <w:spacing w:after="0" w:line="240" w:lineRule="auto"/>
        <w:ind w:firstLine="709"/>
        <w:jc w:val="both"/>
        <w:rPr>
          <w:rFonts w:ascii="Times New Roman" w:hAnsi="Times New Roman" w:cs="Times New Roman"/>
          <w:b/>
          <w:sz w:val="24"/>
          <w:szCs w:val="24"/>
          <w:lang w:val="az-Latn-AZ"/>
        </w:rPr>
      </w:pPr>
    </w:p>
    <w:p w14:paraId="02533B0D" w14:textId="77777777" w:rsidR="001F6AF2" w:rsidRDefault="001F6AF2">
      <w:pPr>
        <w:spacing w:after="0" w:line="240" w:lineRule="auto"/>
        <w:ind w:firstLine="567"/>
        <w:jc w:val="both"/>
        <w:rPr>
          <w:rFonts w:ascii="Times New Roman" w:hAnsi="Times New Roman" w:cs="Times New Roman"/>
          <w:b/>
          <w:i/>
          <w:sz w:val="24"/>
          <w:szCs w:val="24"/>
          <w:lang w:val="az-Latn-AZ"/>
        </w:rPr>
      </w:pPr>
    </w:p>
    <w:p w14:paraId="4E0D10ED" w14:textId="77777777" w:rsidR="001F6AF2" w:rsidRDefault="001F6AF2">
      <w:pPr>
        <w:spacing w:after="0" w:line="240" w:lineRule="auto"/>
        <w:ind w:firstLine="567"/>
        <w:jc w:val="both"/>
        <w:rPr>
          <w:rFonts w:ascii="Times New Roman" w:hAnsi="Times New Roman" w:cs="Times New Roman"/>
          <w:b/>
          <w:sz w:val="24"/>
          <w:lang w:val="az-Latn-AZ"/>
        </w:rPr>
      </w:pPr>
    </w:p>
    <w:p w14:paraId="664F3E92" w14:textId="77777777" w:rsidR="001F6AF2" w:rsidRDefault="001F6AF2">
      <w:pPr>
        <w:spacing w:after="0" w:line="240" w:lineRule="auto"/>
        <w:ind w:firstLine="708"/>
        <w:jc w:val="both"/>
        <w:rPr>
          <w:rFonts w:ascii="Times New Roman" w:hAnsi="Times New Roman" w:cs="Times New Roman"/>
          <w:b/>
          <w:sz w:val="24"/>
          <w:lang w:val="az-Latn-AZ"/>
        </w:rPr>
      </w:pPr>
    </w:p>
    <w:p w14:paraId="09205C28" w14:textId="77777777" w:rsidR="001F6AF2" w:rsidRDefault="001F6AF2">
      <w:pPr>
        <w:spacing w:after="0" w:line="240" w:lineRule="auto"/>
        <w:ind w:firstLine="708"/>
        <w:jc w:val="both"/>
        <w:rPr>
          <w:rFonts w:ascii="Times New Roman" w:hAnsi="Times New Roman" w:cs="Times New Roman"/>
          <w:b/>
          <w:sz w:val="24"/>
          <w:lang w:val="az-Latn-AZ"/>
        </w:rPr>
      </w:pPr>
    </w:p>
    <w:p w14:paraId="397C1A56" w14:textId="77777777" w:rsidR="001F6AF2" w:rsidRDefault="001F6AF2">
      <w:pPr>
        <w:spacing w:after="0" w:line="240" w:lineRule="auto"/>
        <w:ind w:firstLine="708"/>
        <w:jc w:val="both"/>
        <w:rPr>
          <w:rFonts w:ascii="Times New Roman" w:hAnsi="Times New Roman" w:cs="Times New Roman"/>
          <w:b/>
          <w:sz w:val="24"/>
          <w:lang w:val="az-Latn-AZ"/>
        </w:rPr>
      </w:pPr>
    </w:p>
    <w:p w14:paraId="690B2ABC" w14:textId="77777777" w:rsidR="001F6AF2" w:rsidRDefault="001F6AF2">
      <w:pPr>
        <w:spacing w:after="0" w:line="240" w:lineRule="auto"/>
        <w:ind w:firstLine="708"/>
        <w:jc w:val="both"/>
        <w:rPr>
          <w:rFonts w:ascii="Times New Roman" w:hAnsi="Times New Roman" w:cs="Times New Roman"/>
          <w:b/>
          <w:sz w:val="24"/>
          <w:lang w:val="az-Latn-AZ"/>
        </w:rPr>
      </w:pPr>
    </w:p>
    <w:p w14:paraId="6C7351CD" w14:textId="77777777" w:rsidR="001F6AF2" w:rsidRDefault="001F6AF2">
      <w:pPr>
        <w:spacing w:after="0" w:line="240" w:lineRule="auto"/>
        <w:ind w:firstLine="708"/>
        <w:jc w:val="both"/>
        <w:rPr>
          <w:rFonts w:ascii="Times New Roman" w:hAnsi="Times New Roman" w:cs="Times New Roman"/>
          <w:b/>
          <w:sz w:val="24"/>
          <w:lang w:val="az-Latn-AZ"/>
        </w:rPr>
      </w:pPr>
    </w:p>
    <w:p w14:paraId="1F1607B5" w14:textId="77777777" w:rsidR="001F6AF2" w:rsidRDefault="001F6AF2">
      <w:pPr>
        <w:spacing w:after="0" w:line="240" w:lineRule="auto"/>
        <w:ind w:firstLine="708"/>
        <w:jc w:val="both"/>
        <w:rPr>
          <w:rFonts w:ascii="Times New Roman" w:hAnsi="Times New Roman" w:cs="Times New Roman"/>
          <w:b/>
          <w:sz w:val="24"/>
          <w:lang w:val="az-Latn-AZ"/>
        </w:rPr>
      </w:pPr>
    </w:p>
    <w:p w14:paraId="2B326354" w14:textId="77777777" w:rsidR="001F6AF2" w:rsidRDefault="001F6AF2">
      <w:pPr>
        <w:spacing w:after="0" w:line="240" w:lineRule="auto"/>
        <w:ind w:firstLine="708"/>
        <w:jc w:val="both"/>
        <w:rPr>
          <w:rFonts w:ascii="Times New Roman" w:hAnsi="Times New Roman" w:cs="Times New Roman"/>
          <w:b/>
          <w:sz w:val="24"/>
          <w:lang w:val="az-Latn-AZ"/>
        </w:rPr>
      </w:pPr>
    </w:p>
    <w:p w14:paraId="47194650" w14:textId="77777777" w:rsidR="001F6AF2" w:rsidRDefault="001F6AF2">
      <w:pPr>
        <w:spacing w:after="0" w:line="240" w:lineRule="auto"/>
        <w:ind w:firstLine="708"/>
        <w:jc w:val="both"/>
        <w:rPr>
          <w:rFonts w:ascii="Times New Roman" w:hAnsi="Times New Roman" w:cs="Times New Roman"/>
          <w:b/>
          <w:sz w:val="24"/>
          <w:lang w:val="az-Latn-AZ"/>
        </w:rPr>
      </w:pPr>
    </w:p>
    <w:p w14:paraId="2FAB38C4" w14:textId="77777777" w:rsidR="001F6AF2" w:rsidRDefault="001F6AF2">
      <w:pPr>
        <w:spacing w:after="0" w:line="240" w:lineRule="auto"/>
        <w:ind w:firstLine="708"/>
        <w:jc w:val="both"/>
        <w:rPr>
          <w:rFonts w:ascii="Times New Roman" w:hAnsi="Times New Roman" w:cs="Times New Roman"/>
          <w:b/>
          <w:sz w:val="24"/>
          <w:lang w:val="az-Latn-AZ"/>
        </w:rPr>
      </w:pPr>
    </w:p>
    <w:p w14:paraId="56AD788A" w14:textId="77777777" w:rsidR="001F6AF2" w:rsidRDefault="001F6AF2">
      <w:pPr>
        <w:spacing w:after="0" w:line="240" w:lineRule="auto"/>
        <w:ind w:firstLine="708"/>
        <w:jc w:val="both"/>
        <w:rPr>
          <w:rFonts w:ascii="Times New Roman" w:hAnsi="Times New Roman" w:cs="Times New Roman"/>
          <w:b/>
          <w:sz w:val="24"/>
          <w:lang w:val="az-Latn-AZ"/>
        </w:rPr>
      </w:pPr>
    </w:p>
    <w:p w14:paraId="57F62EF5" w14:textId="77777777" w:rsidR="001F6AF2" w:rsidRDefault="001F6AF2">
      <w:pPr>
        <w:spacing w:after="0" w:line="240" w:lineRule="auto"/>
        <w:ind w:firstLine="708"/>
        <w:jc w:val="both"/>
        <w:rPr>
          <w:rFonts w:ascii="Times New Roman" w:hAnsi="Times New Roman" w:cs="Times New Roman"/>
          <w:b/>
          <w:sz w:val="24"/>
          <w:lang w:val="az-Latn-AZ"/>
        </w:rPr>
      </w:pPr>
    </w:p>
    <w:p w14:paraId="1A744B44" w14:textId="77777777" w:rsidR="001F6AF2" w:rsidRDefault="001F6AF2">
      <w:pPr>
        <w:spacing w:after="0" w:line="240" w:lineRule="auto"/>
        <w:jc w:val="both"/>
        <w:rPr>
          <w:rFonts w:ascii="Times New Roman" w:hAnsi="Times New Roman" w:cs="Times New Roman"/>
          <w:b/>
          <w:sz w:val="24"/>
          <w:lang w:val="az-Latn-AZ"/>
        </w:rPr>
      </w:pPr>
    </w:p>
    <w:p w14:paraId="7A783682" w14:textId="77777777" w:rsidR="001F6AF2" w:rsidRDefault="001F6AF2">
      <w:pPr>
        <w:spacing w:after="0" w:line="240" w:lineRule="auto"/>
        <w:ind w:firstLine="708"/>
        <w:jc w:val="both"/>
        <w:rPr>
          <w:rFonts w:ascii="Times New Roman" w:hAnsi="Times New Roman" w:cs="Times New Roman"/>
          <w:b/>
          <w:sz w:val="24"/>
          <w:lang w:val="az-Latn-AZ"/>
        </w:rPr>
      </w:pPr>
    </w:p>
    <w:p w14:paraId="70D00C04" w14:textId="77777777" w:rsidR="001F6AF2" w:rsidRDefault="001F6AF2">
      <w:pPr>
        <w:spacing w:after="0" w:line="240" w:lineRule="auto"/>
        <w:ind w:firstLine="708"/>
        <w:jc w:val="both"/>
        <w:rPr>
          <w:rFonts w:ascii="Times New Roman" w:hAnsi="Times New Roman" w:cs="Times New Roman"/>
          <w:b/>
          <w:sz w:val="24"/>
          <w:lang w:val="az-Latn-AZ"/>
        </w:rPr>
      </w:pPr>
    </w:p>
    <w:p w14:paraId="7869D9C7" w14:textId="77777777" w:rsidR="001F6AF2" w:rsidRDefault="001F6AF2">
      <w:pPr>
        <w:spacing w:after="0" w:line="240" w:lineRule="auto"/>
        <w:ind w:firstLine="708"/>
        <w:jc w:val="both"/>
        <w:rPr>
          <w:rFonts w:ascii="Times New Roman" w:hAnsi="Times New Roman" w:cs="Times New Roman"/>
          <w:b/>
          <w:sz w:val="24"/>
          <w:lang w:val="az-Latn-AZ"/>
        </w:rPr>
      </w:pPr>
    </w:p>
    <w:p w14:paraId="0FD4AFE4" w14:textId="77777777" w:rsidR="001F6AF2" w:rsidRDefault="001F6AF2">
      <w:pPr>
        <w:spacing w:after="0" w:line="240" w:lineRule="auto"/>
        <w:ind w:firstLine="708"/>
        <w:jc w:val="both"/>
        <w:rPr>
          <w:rFonts w:ascii="Times New Roman" w:hAnsi="Times New Roman" w:cs="Times New Roman"/>
          <w:b/>
          <w:sz w:val="24"/>
          <w:lang w:val="az-Latn-AZ"/>
        </w:rPr>
      </w:pPr>
    </w:p>
    <w:p w14:paraId="6D6C7666" w14:textId="77777777" w:rsidR="001F6AF2" w:rsidRDefault="001F6AF2">
      <w:pPr>
        <w:spacing w:after="0" w:line="240" w:lineRule="auto"/>
        <w:ind w:firstLine="708"/>
        <w:jc w:val="both"/>
        <w:rPr>
          <w:rFonts w:ascii="Times New Roman" w:hAnsi="Times New Roman" w:cs="Times New Roman"/>
          <w:b/>
          <w:sz w:val="24"/>
          <w:lang w:val="az-Latn-AZ"/>
        </w:rPr>
      </w:pPr>
    </w:p>
    <w:p w14:paraId="75070636" w14:textId="77777777" w:rsidR="001F6AF2" w:rsidRDefault="001F6AF2">
      <w:pPr>
        <w:spacing w:after="0" w:line="240" w:lineRule="auto"/>
        <w:jc w:val="both"/>
        <w:rPr>
          <w:rFonts w:ascii="Times New Roman" w:hAnsi="Times New Roman" w:cs="Times New Roman"/>
          <w:b/>
          <w:sz w:val="24"/>
          <w:lang w:val="az-Latn-AZ"/>
        </w:rPr>
      </w:pPr>
    </w:p>
    <w:p w14:paraId="298639D5" w14:textId="77777777" w:rsidR="001F6AF2" w:rsidRDefault="001F6AF2">
      <w:pPr>
        <w:spacing w:after="0" w:line="240" w:lineRule="auto"/>
        <w:rPr>
          <w:rFonts w:ascii="Times New Roman" w:hAnsi="Times New Roman" w:cs="Times New Roman"/>
          <w:b/>
          <w:sz w:val="24"/>
          <w:lang w:val="az-Latn-AZ"/>
        </w:rPr>
      </w:pPr>
    </w:p>
    <w:p w14:paraId="1D656FBB" w14:textId="77777777" w:rsidR="001F6AF2" w:rsidRDefault="00000000">
      <w:pPr>
        <w:spacing w:after="0" w:line="360" w:lineRule="auto"/>
        <w:jc w:val="center"/>
        <w:rPr>
          <w:rFonts w:ascii="Times New Roman" w:hAnsi="Times New Roman" w:cs="Times New Roman"/>
          <w:b/>
          <w:sz w:val="28"/>
          <w:szCs w:val="24"/>
          <w:lang w:val="az-Latn-AZ"/>
        </w:rPr>
      </w:pPr>
      <w:r>
        <w:rPr>
          <w:rFonts w:ascii="Times New Roman" w:hAnsi="Times New Roman" w:cs="Times New Roman"/>
          <w:b/>
          <w:sz w:val="28"/>
          <w:szCs w:val="24"/>
          <w:lang w:val="az-Latn-AZ"/>
        </w:rPr>
        <w:t>“IMPROVING BORDER TRADE EFFICIENCY INDICATORS IN THE DEVELOPMENT OF AZERBAIJAN'S FOREIGN TRADE”</w:t>
      </w:r>
    </w:p>
    <w:p w14:paraId="577C1A1F" w14:textId="77777777" w:rsidR="001F6AF2" w:rsidRDefault="001F6AF2">
      <w:pPr>
        <w:spacing w:after="0" w:line="240" w:lineRule="auto"/>
        <w:jc w:val="center"/>
        <w:rPr>
          <w:rFonts w:ascii="Times New Roman" w:hAnsi="Times New Roman" w:cs="Times New Roman"/>
          <w:b/>
          <w:sz w:val="24"/>
          <w:lang w:val="az-Latn-AZ"/>
        </w:rPr>
      </w:pPr>
    </w:p>
    <w:p w14:paraId="4F02F226" w14:textId="77777777" w:rsidR="001F6AF2" w:rsidRDefault="00000000">
      <w:pPr>
        <w:spacing w:after="0" w:line="360" w:lineRule="auto"/>
        <w:jc w:val="center"/>
        <w:rPr>
          <w:rFonts w:ascii="Times New Roman" w:hAnsi="Times New Roman" w:cs="Times New Roman"/>
          <w:b/>
          <w:sz w:val="28"/>
          <w:szCs w:val="24"/>
          <w:lang w:val="az-Latn-AZ"/>
        </w:rPr>
      </w:pPr>
      <w:r>
        <w:rPr>
          <w:rFonts w:ascii="Times New Roman" w:hAnsi="Times New Roman" w:cs="Times New Roman"/>
          <w:b/>
          <w:sz w:val="28"/>
          <w:szCs w:val="24"/>
          <w:lang w:val="az-Latn-AZ"/>
        </w:rPr>
        <w:t>SUMMARY</w:t>
      </w:r>
    </w:p>
    <w:p w14:paraId="3F10824F" w14:textId="77777777" w:rsidR="001F6AF2" w:rsidRDefault="00000000">
      <w:pPr>
        <w:spacing w:after="0" w:line="240" w:lineRule="auto"/>
        <w:ind w:firstLine="567"/>
        <w:jc w:val="both"/>
        <w:rPr>
          <w:rFonts w:ascii="Times New Roman" w:hAnsi="Times New Roman" w:cs="Times New Roman"/>
          <w:bCs/>
          <w:sz w:val="24"/>
          <w:lang w:val="tr-TR"/>
        </w:rPr>
      </w:pPr>
      <w:r>
        <w:rPr>
          <w:rFonts w:ascii="Times New Roman" w:hAnsi="Times New Roman" w:cs="Times New Roman"/>
          <w:bCs/>
          <w:sz w:val="24"/>
          <w:lang w:val="tr-TR"/>
        </w:rPr>
        <w:t>The improvement of border trade efficiency indicators in the development of Azerbaijan’s foreign trade is highly relevant due to the increasing complexity of global supply chains, the expansion of international transport corridors, and the growing need to ensure fast, transparent, and low-cost cross-border operations. Efficient border management directly influences trade competitiveness, logistics performance, and the country’s transit potential, making the study of efficiency indicators critical for sustainable economic integration.</w:t>
      </w:r>
    </w:p>
    <w:p w14:paraId="7763D6C1" w14:textId="77777777" w:rsidR="001F6AF2" w:rsidRDefault="00000000">
      <w:pPr>
        <w:spacing w:after="0" w:line="240" w:lineRule="auto"/>
        <w:ind w:firstLine="567"/>
        <w:jc w:val="both"/>
        <w:rPr>
          <w:rFonts w:ascii="Times New Roman" w:hAnsi="Times New Roman" w:cs="Times New Roman"/>
          <w:bCs/>
          <w:sz w:val="24"/>
          <w:lang w:val="tr-TR"/>
        </w:rPr>
      </w:pPr>
      <w:r>
        <w:rPr>
          <w:rFonts w:ascii="Times New Roman" w:hAnsi="Times New Roman" w:cs="Times New Roman"/>
          <w:bCs/>
          <w:sz w:val="24"/>
          <w:lang w:val="tr-TR"/>
        </w:rPr>
        <w:t>The purpose of the research is to analyze the efficiency indicators of border trade in Azerbaijan and to identify strategic directions for their improvement. The main tasks include examining the economic essence of border trade, evaluating current efficiency levels, assessing digitalization and customs management practices, identifying logistical and procedural bottlenecks, and comparing international standards with national practices.</w:t>
      </w:r>
    </w:p>
    <w:p w14:paraId="4C32A3F2" w14:textId="77777777" w:rsidR="001F6AF2" w:rsidRDefault="00000000">
      <w:pPr>
        <w:spacing w:after="0" w:line="240" w:lineRule="auto"/>
        <w:ind w:firstLine="567"/>
        <w:jc w:val="both"/>
        <w:rPr>
          <w:rFonts w:ascii="Times New Roman" w:hAnsi="Times New Roman" w:cs="Times New Roman"/>
          <w:bCs/>
          <w:sz w:val="24"/>
          <w:lang w:val="tr-TR"/>
        </w:rPr>
      </w:pPr>
      <w:r>
        <w:rPr>
          <w:rFonts w:ascii="Times New Roman" w:hAnsi="Times New Roman" w:cs="Times New Roman"/>
          <w:bCs/>
          <w:sz w:val="24"/>
          <w:lang w:val="tr-TR"/>
        </w:rPr>
        <w:t>The research employs systematic, comparative, analytical, and statistical methods, including cross-country benchmarking and efficiency measurement approaches.</w:t>
      </w:r>
    </w:p>
    <w:p w14:paraId="4DC8623D" w14:textId="77777777" w:rsidR="001F6AF2" w:rsidRDefault="00000000">
      <w:pPr>
        <w:spacing w:after="0" w:line="240" w:lineRule="auto"/>
        <w:ind w:firstLine="567"/>
        <w:jc w:val="both"/>
        <w:rPr>
          <w:rFonts w:ascii="Times New Roman" w:hAnsi="Times New Roman" w:cs="Times New Roman"/>
          <w:bCs/>
          <w:sz w:val="24"/>
          <w:lang w:val="tr-TR"/>
        </w:rPr>
      </w:pPr>
      <w:r>
        <w:rPr>
          <w:rFonts w:ascii="Times New Roman" w:hAnsi="Times New Roman" w:cs="Times New Roman"/>
          <w:bCs/>
          <w:sz w:val="24"/>
          <w:lang w:val="tr-TR"/>
        </w:rPr>
        <w:t>The information base consists of data from the State Customs Committee, the State Statistical Committee, WTO, WCO, OECD reports, UNCTAD databases, and relevant scientific literature.</w:t>
      </w:r>
    </w:p>
    <w:p w14:paraId="1B6DAA82" w14:textId="77777777" w:rsidR="001F6AF2" w:rsidRDefault="00000000">
      <w:pPr>
        <w:spacing w:after="0" w:line="240" w:lineRule="auto"/>
        <w:ind w:firstLine="567"/>
        <w:jc w:val="both"/>
        <w:rPr>
          <w:rFonts w:ascii="Times New Roman" w:hAnsi="Times New Roman" w:cs="Times New Roman"/>
          <w:bCs/>
          <w:sz w:val="24"/>
          <w:lang w:val="tr-TR"/>
        </w:rPr>
      </w:pPr>
      <w:r>
        <w:rPr>
          <w:rFonts w:ascii="Times New Roman" w:hAnsi="Times New Roman" w:cs="Times New Roman"/>
          <w:bCs/>
          <w:sz w:val="24"/>
          <w:lang w:val="tr-TR"/>
        </w:rPr>
        <w:t>Limitations include incomplete accessibility of time–cost data at border checkpoints, differences in statistical methodologies across years, and limited availability of detailed customs operational indicators.</w:t>
      </w:r>
    </w:p>
    <w:p w14:paraId="593309BA" w14:textId="77777777" w:rsidR="001F6AF2" w:rsidRDefault="00000000">
      <w:pPr>
        <w:spacing w:after="0" w:line="240" w:lineRule="auto"/>
        <w:ind w:firstLine="567"/>
        <w:jc w:val="both"/>
        <w:rPr>
          <w:rFonts w:ascii="Times New Roman" w:hAnsi="Times New Roman" w:cs="Times New Roman"/>
          <w:bCs/>
          <w:sz w:val="24"/>
          <w:lang w:val="tr-TR"/>
        </w:rPr>
      </w:pPr>
      <w:r>
        <w:rPr>
          <w:rFonts w:ascii="Times New Roman" w:hAnsi="Times New Roman" w:cs="Times New Roman"/>
          <w:bCs/>
          <w:sz w:val="24"/>
          <w:lang w:val="tr-TR"/>
        </w:rPr>
        <w:t>The research presents a new conceptual framework linking border efficiency indicators with Azerbaijan’s foreign trade dynamics and offers improved models for logistics optimization and digital customs transformation.</w:t>
      </w:r>
    </w:p>
    <w:p w14:paraId="16090FDF" w14:textId="77777777" w:rsidR="001F6AF2" w:rsidRDefault="00000000">
      <w:pPr>
        <w:spacing w:after="0" w:line="240" w:lineRule="auto"/>
        <w:ind w:firstLine="567"/>
        <w:jc w:val="both"/>
        <w:rPr>
          <w:rFonts w:ascii="Times New Roman" w:hAnsi="Times New Roman" w:cs="Times New Roman"/>
          <w:bCs/>
          <w:sz w:val="24"/>
          <w:lang w:val="tr-TR"/>
        </w:rPr>
      </w:pPr>
      <w:r>
        <w:rPr>
          <w:rFonts w:ascii="Times New Roman" w:hAnsi="Times New Roman" w:cs="Times New Roman"/>
          <w:bCs/>
          <w:sz w:val="24"/>
          <w:lang w:val="tr-TR"/>
        </w:rPr>
        <w:t>The results provide practical guidelines for strengthening customs procedures, reducing border delays, improving logistics integration, and enhancing Azerbaijan’s competitiveness in global trade.</w:t>
      </w:r>
    </w:p>
    <w:p w14:paraId="74B295AE" w14:textId="77777777" w:rsidR="001F6AF2" w:rsidRDefault="001F6AF2">
      <w:pPr>
        <w:spacing w:after="0" w:line="240" w:lineRule="auto"/>
        <w:ind w:firstLine="567"/>
        <w:jc w:val="both"/>
        <w:rPr>
          <w:rFonts w:ascii="Times New Roman" w:hAnsi="Times New Roman" w:cs="Times New Roman"/>
          <w:b/>
          <w:bCs/>
          <w:sz w:val="24"/>
          <w:lang w:val="tr-TR"/>
        </w:rPr>
      </w:pPr>
    </w:p>
    <w:p w14:paraId="022532D8" w14:textId="77777777" w:rsidR="001F6AF2" w:rsidRDefault="00000000">
      <w:pPr>
        <w:spacing w:after="0" w:line="240" w:lineRule="auto"/>
        <w:ind w:firstLine="567"/>
        <w:jc w:val="both"/>
        <w:rPr>
          <w:rFonts w:ascii="Times New Roman" w:hAnsi="Times New Roman" w:cs="Times New Roman"/>
          <w:bCs/>
          <w:i/>
          <w:iCs/>
          <w:sz w:val="24"/>
          <w:lang w:val="tr-TR"/>
        </w:rPr>
      </w:pPr>
      <w:r>
        <w:rPr>
          <w:rFonts w:ascii="Times New Roman" w:hAnsi="Times New Roman" w:cs="Times New Roman"/>
          <w:b/>
          <w:bCs/>
          <w:i/>
          <w:iCs/>
          <w:sz w:val="24"/>
          <w:lang w:val="tr-TR"/>
        </w:rPr>
        <w:t>Key words:</w:t>
      </w:r>
      <w:r>
        <w:rPr>
          <w:rFonts w:ascii="Times New Roman" w:hAnsi="Times New Roman" w:cs="Times New Roman"/>
          <w:bCs/>
          <w:i/>
          <w:iCs/>
          <w:sz w:val="24"/>
          <w:lang w:val="tr-TR"/>
        </w:rPr>
        <w:t xml:space="preserve"> border trade, customs efficiency, logistics, digitalization, foreign trade</w:t>
      </w:r>
    </w:p>
    <w:p w14:paraId="681C3B0B" w14:textId="77777777" w:rsidR="001F6AF2" w:rsidRDefault="001F6AF2">
      <w:pPr>
        <w:spacing w:after="0" w:line="240" w:lineRule="auto"/>
        <w:ind w:firstLine="567"/>
        <w:jc w:val="both"/>
        <w:rPr>
          <w:rFonts w:ascii="Times New Roman" w:hAnsi="Times New Roman" w:cs="Times New Roman"/>
          <w:bCs/>
          <w:sz w:val="24"/>
          <w:lang w:val="az-Latn-AZ"/>
        </w:rPr>
      </w:pPr>
    </w:p>
    <w:p w14:paraId="1E120624" w14:textId="77777777" w:rsidR="001F6AF2" w:rsidRDefault="001F6AF2">
      <w:pPr>
        <w:spacing w:after="0" w:line="240" w:lineRule="auto"/>
        <w:ind w:firstLine="567"/>
        <w:jc w:val="both"/>
        <w:rPr>
          <w:rFonts w:ascii="Times New Roman" w:hAnsi="Times New Roman" w:cs="Times New Roman"/>
          <w:b/>
          <w:i/>
          <w:sz w:val="24"/>
          <w:lang w:val="az-Latn-AZ"/>
        </w:rPr>
      </w:pPr>
    </w:p>
    <w:p w14:paraId="34826833" w14:textId="77777777" w:rsidR="001F6AF2" w:rsidRDefault="001F6AF2">
      <w:pPr>
        <w:spacing w:line="240" w:lineRule="auto"/>
        <w:rPr>
          <w:rFonts w:ascii="Times New Roman" w:hAnsi="Times New Roman" w:cs="Times New Roman"/>
          <w:b/>
          <w:bCs/>
          <w:sz w:val="28"/>
          <w:szCs w:val="28"/>
        </w:rPr>
      </w:pPr>
    </w:p>
    <w:p w14:paraId="09E42D32" w14:textId="77777777" w:rsidR="001F6AF2" w:rsidRDefault="001F6AF2">
      <w:pPr>
        <w:spacing w:line="240" w:lineRule="auto"/>
        <w:rPr>
          <w:rFonts w:ascii="Times New Roman" w:hAnsi="Times New Roman" w:cs="Times New Roman"/>
          <w:b/>
          <w:bCs/>
          <w:sz w:val="28"/>
          <w:szCs w:val="28"/>
        </w:rPr>
      </w:pPr>
    </w:p>
    <w:p w14:paraId="11A68147" w14:textId="77777777" w:rsidR="001F6AF2" w:rsidRDefault="001F6AF2">
      <w:pPr>
        <w:spacing w:line="240" w:lineRule="auto"/>
        <w:rPr>
          <w:rFonts w:ascii="Times New Roman" w:hAnsi="Times New Roman" w:cs="Times New Roman"/>
          <w:b/>
          <w:bCs/>
          <w:sz w:val="28"/>
          <w:szCs w:val="28"/>
        </w:rPr>
      </w:pPr>
    </w:p>
    <w:p w14:paraId="3BBA376B" w14:textId="77777777" w:rsidR="001F6AF2" w:rsidRDefault="001F6AF2">
      <w:pPr>
        <w:spacing w:line="240" w:lineRule="auto"/>
        <w:rPr>
          <w:rFonts w:ascii="Times New Roman" w:hAnsi="Times New Roman" w:cs="Times New Roman"/>
          <w:b/>
          <w:bCs/>
          <w:sz w:val="28"/>
          <w:szCs w:val="28"/>
        </w:rPr>
      </w:pPr>
    </w:p>
    <w:p w14:paraId="71ECC74E" w14:textId="77777777" w:rsidR="001F6AF2" w:rsidRDefault="001F6AF2">
      <w:pPr>
        <w:spacing w:line="240" w:lineRule="auto"/>
        <w:rPr>
          <w:rFonts w:ascii="Times New Roman" w:hAnsi="Times New Roman" w:cs="Times New Roman"/>
          <w:b/>
          <w:bCs/>
          <w:sz w:val="28"/>
          <w:szCs w:val="28"/>
        </w:rPr>
      </w:pPr>
    </w:p>
    <w:p w14:paraId="23A6E776" w14:textId="77777777" w:rsidR="001F6AF2" w:rsidRDefault="001F6AF2">
      <w:pPr>
        <w:spacing w:line="240" w:lineRule="auto"/>
        <w:rPr>
          <w:rFonts w:ascii="Times New Roman" w:hAnsi="Times New Roman" w:cs="Times New Roman"/>
          <w:b/>
          <w:bCs/>
          <w:sz w:val="28"/>
          <w:szCs w:val="28"/>
        </w:rPr>
      </w:pPr>
    </w:p>
    <w:p w14:paraId="550A518A" w14:textId="77777777" w:rsidR="001F6AF2" w:rsidRDefault="001F6AF2">
      <w:pPr>
        <w:pStyle w:val="Heading1"/>
        <w:rPr>
          <w:rFonts w:ascii="Times New Roman" w:hAnsi="Times New Roman" w:cs="Times New Roman"/>
          <w:b/>
          <w:bCs/>
          <w:color w:val="auto"/>
          <w:sz w:val="28"/>
          <w:szCs w:val="28"/>
        </w:rPr>
      </w:pPr>
    </w:p>
    <w:p w14:paraId="07E6F367" w14:textId="77777777" w:rsidR="001F6AF2" w:rsidRDefault="001F6AF2">
      <w:pPr>
        <w:rPr>
          <w:rFonts w:ascii="Times New Roman" w:hAnsi="Times New Roman" w:cs="Times New Roman"/>
        </w:rPr>
      </w:pPr>
    </w:p>
    <w:p w14:paraId="421468D8" w14:textId="77777777" w:rsidR="001F6AF2" w:rsidRDefault="001F6AF2">
      <w:pPr>
        <w:jc w:val="both"/>
        <w:rPr>
          <w:rFonts w:ascii="Times New Roman" w:hAnsi="Times New Roman" w:cs="Times New Roman"/>
        </w:rPr>
      </w:pPr>
    </w:p>
    <w:p w14:paraId="240709AD" w14:textId="77777777" w:rsidR="001F6AF2" w:rsidRDefault="00000000">
      <w:pPr>
        <w:pStyle w:val="TOCHeading1"/>
        <w:rPr>
          <w:color w:val="auto"/>
          <w:lang w:val="az-Latn-AZ"/>
        </w:rPr>
      </w:pPr>
      <w:r>
        <w:rPr>
          <w:color w:val="auto"/>
          <w:lang w:val="az-Latn-AZ"/>
        </w:rPr>
        <w:t>MÜNDƏRİCAT</w:t>
      </w:r>
    </w:p>
    <w:p w14:paraId="3D0AF835" w14:textId="77777777" w:rsidR="001F6AF2" w:rsidRDefault="00000000">
      <w:pPr>
        <w:pStyle w:val="TOCHeading1"/>
        <w:jc w:val="both"/>
        <w:rPr>
          <w:rFonts w:eastAsiaTheme="minorEastAsia"/>
          <w:b w:val="0"/>
          <w:color w:val="auto"/>
        </w:rPr>
      </w:pPr>
      <w:r>
        <w:rPr>
          <w:color w:val="auto"/>
        </w:rPr>
        <w:fldChar w:fldCharType="begin"/>
      </w:r>
      <w:r>
        <w:rPr>
          <w:color w:val="auto"/>
        </w:rPr>
        <w:instrText xml:space="preserve"> TOC \o "1-3" \h \z \u </w:instrText>
      </w:r>
      <w:r>
        <w:rPr>
          <w:color w:val="auto"/>
        </w:rPr>
        <w:fldChar w:fldCharType="separate"/>
      </w:r>
    </w:p>
    <w:p w14:paraId="68E0D23B" w14:textId="77777777" w:rsidR="001F6AF2" w:rsidRDefault="00000000">
      <w:pPr>
        <w:pStyle w:val="TOC1"/>
        <w:spacing w:after="0" w:line="360" w:lineRule="auto"/>
        <w:jc w:val="both"/>
        <w:rPr>
          <w:rFonts w:ascii="Times New Roman" w:eastAsiaTheme="minorEastAsia" w:hAnsi="Times New Roman" w:cs="Times New Roman"/>
          <w:b/>
          <w:bCs/>
          <w:sz w:val="28"/>
          <w:szCs w:val="28"/>
        </w:rPr>
      </w:pPr>
      <w:hyperlink w:anchor="_Toc113615919" w:history="1">
        <w:r>
          <w:rPr>
            <w:rStyle w:val="Hyperlink"/>
            <w:rFonts w:ascii="Times New Roman" w:hAnsi="Times New Roman" w:cs="Times New Roman"/>
            <w:b/>
            <w:bCs/>
            <w:color w:val="auto"/>
            <w:sz w:val="28"/>
            <w:szCs w:val="28"/>
            <w:u w:val="none"/>
          </w:rPr>
          <w:t xml:space="preserve">I FƏSİL. </w:t>
        </w:r>
        <w:r>
          <w:rPr>
            <w:rFonts w:ascii="Times New Roman" w:hAnsi="Times New Roman" w:cs="Times New Roman"/>
            <w:b/>
            <w:bCs/>
            <w:sz w:val="28"/>
            <w:szCs w:val="28"/>
          </w:rPr>
          <w:t>SƏRHƏDDƏ TİCARƏTİN İQTİSADI MAHİYYƏTİ VƏ SƏMƏRƏLİLİK GÖSTƏRİCİLƏRİNİN NƏZƏRİ ƏSASLARI…………….10</w:t>
        </w:r>
      </w:hyperlink>
    </w:p>
    <w:p w14:paraId="13EE1E7E" w14:textId="77777777" w:rsidR="001F6AF2" w:rsidRDefault="00000000">
      <w:pPr>
        <w:pStyle w:val="TOC1"/>
        <w:spacing w:after="0" w:line="360" w:lineRule="auto"/>
        <w:jc w:val="both"/>
        <w:rPr>
          <w:rFonts w:ascii="Times New Roman" w:eastAsiaTheme="minorEastAsia" w:hAnsi="Times New Roman" w:cs="Times New Roman"/>
          <w:b/>
          <w:bCs/>
          <w:sz w:val="28"/>
          <w:szCs w:val="28"/>
        </w:rPr>
      </w:pPr>
      <w:hyperlink w:anchor="_Toc113615920" w:history="1">
        <w:r>
          <w:rPr>
            <w:rStyle w:val="Hyperlink"/>
            <w:rFonts w:ascii="Times New Roman" w:hAnsi="Times New Roman" w:cs="Times New Roman"/>
            <w:bCs/>
            <w:color w:val="auto"/>
            <w:sz w:val="28"/>
            <w:szCs w:val="28"/>
            <w:u w:val="none"/>
          </w:rPr>
          <w:t>1.1.</w:t>
        </w:r>
        <w:r>
          <w:rPr>
            <w:rFonts w:ascii="Times New Roman" w:hAnsi="Times New Roman" w:cs="Times New Roman"/>
            <w:sz w:val="28"/>
            <w:szCs w:val="28"/>
          </w:rPr>
          <w:t xml:space="preserve"> Sərhəddə ticarət səmərəliliyinin yüksəldilməsinin nəzəri-metodoloji əsasları və konseptual yanaşmalar</w:t>
        </w:r>
        <w:r>
          <w:rPr>
            <w:rFonts w:ascii="Times New Roman" w:hAnsi="Times New Roman" w:cs="Times New Roman"/>
            <w:bCs/>
            <w:sz w:val="28"/>
            <w:szCs w:val="28"/>
          </w:rPr>
          <w:t>………………………………………………………..10</w:t>
        </w:r>
      </w:hyperlink>
    </w:p>
    <w:p w14:paraId="31148152" w14:textId="77777777" w:rsidR="001F6AF2" w:rsidRDefault="00000000">
      <w:pPr>
        <w:pStyle w:val="TOC1"/>
        <w:spacing w:after="0" w:line="360" w:lineRule="auto"/>
        <w:jc w:val="both"/>
      </w:pPr>
      <w:hyperlink w:anchor="_Toc113615922" w:history="1">
        <w:r>
          <w:rPr>
            <w:rStyle w:val="Hyperlink"/>
            <w:rFonts w:ascii="Times New Roman" w:hAnsi="Times New Roman" w:cs="Times New Roman"/>
            <w:bCs/>
            <w:color w:val="auto"/>
            <w:sz w:val="28"/>
            <w:szCs w:val="28"/>
            <w:u w:val="none"/>
          </w:rPr>
          <w:t xml:space="preserve">1.2. </w:t>
        </w:r>
        <w:r>
          <w:rPr>
            <w:rFonts w:ascii="Times New Roman" w:hAnsi="Times New Roman" w:cs="Times New Roman"/>
            <w:sz w:val="28"/>
            <w:szCs w:val="28"/>
          </w:rPr>
          <w:t>Sərhəddə ticarətin səmərəliliyini müəyyən edən əsas iqtisadi göstəricilər</w:t>
        </w:r>
        <w:r>
          <w:rPr>
            <w:rFonts w:ascii="Times New Roman" w:hAnsi="Times New Roman" w:cs="Times New Roman"/>
            <w:sz w:val="28"/>
            <w:szCs w:val="28"/>
            <w:lang w:val="tr-TR"/>
          </w:rPr>
          <w:t>i......</w:t>
        </w:r>
        <w:r>
          <w:rPr>
            <w:rFonts w:ascii="Times New Roman" w:hAnsi="Times New Roman" w:cs="Times New Roman"/>
            <w:bCs/>
            <w:sz w:val="28"/>
            <w:szCs w:val="28"/>
          </w:rPr>
          <w:t>.14</w:t>
        </w:r>
      </w:hyperlink>
    </w:p>
    <w:p w14:paraId="7AB1ED71" w14:textId="77777777" w:rsidR="001F6AF2" w:rsidRDefault="00000000">
      <w:pPr>
        <w:pStyle w:val="TOC1"/>
        <w:spacing w:after="0" w:line="360" w:lineRule="auto"/>
        <w:jc w:val="both"/>
      </w:pPr>
      <w:hyperlink w:anchor="_Toc113615922" w:history="1">
        <w:r>
          <w:rPr>
            <w:rStyle w:val="Hyperlink"/>
            <w:rFonts w:ascii="Times New Roman" w:hAnsi="Times New Roman" w:cs="Times New Roman"/>
            <w:bCs/>
            <w:color w:val="auto"/>
            <w:sz w:val="28"/>
            <w:szCs w:val="28"/>
            <w:u w:val="none"/>
          </w:rPr>
          <w:t xml:space="preserve">1.3. </w:t>
        </w:r>
        <w:r>
          <w:rPr>
            <w:rFonts w:ascii="Times New Roman" w:hAnsi="Times New Roman" w:cs="Times New Roman"/>
            <w:sz w:val="28"/>
            <w:szCs w:val="28"/>
          </w:rPr>
          <w:t>Gömrük orqanlarının fəaliyyətində səmərəlilik meyarları və qiymətləndirmə metodları</w:t>
        </w:r>
        <w:r>
          <w:rPr>
            <w:rFonts w:ascii="Times New Roman" w:hAnsi="Times New Roman" w:cs="Times New Roman"/>
            <w:sz w:val="28"/>
            <w:szCs w:val="28"/>
            <w:lang w:val="tr-TR"/>
          </w:rPr>
          <w:t xml:space="preserve"> ................................................................................................................</w:t>
        </w:r>
        <w:r>
          <w:rPr>
            <w:rFonts w:ascii="Times New Roman" w:hAnsi="Times New Roman" w:cs="Times New Roman"/>
            <w:bCs/>
            <w:sz w:val="28"/>
            <w:szCs w:val="28"/>
          </w:rPr>
          <w:t>.20</w:t>
        </w:r>
      </w:hyperlink>
    </w:p>
    <w:p w14:paraId="16EF1345" w14:textId="77777777" w:rsidR="001F6AF2" w:rsidRDefault="00000000">
      <w:pPr>
        <w:pStyle w:val="TOC1"/>
        <w:spacing w:after="0" w:line="360" w:lineRule="auto"/>
        <w:jc w:val="both"/>
        <w:rPr>
          <w:rFonts w:ascii="Times New Roman" w:eastAsiaTheme="minorEastAsia" w:hAnsi="Times New Roman" w:cs="Times New Roman"/>
          <w:b/>
          <w:bCs/>
          <w:sz w:val="28"/>
          <w:szCs w:val="28"/>
        </w:rPr>
      </w:pPr>
      <w:hyperlink w:anchor="_Toc113615919" w:history="1">
        <w:r>
          <w:rPr>
            <w:rStyle w:val="Hyperlink"/>
            <w:rFonts w:ascii="Times New Roman" w:hAnsi="Times New Roman" w:cs="Times New Roman"/>
            <w:b/>
            <w:bCs/>
            <w:color w:val="auto"/>
            <w:sz w:val="28"/>
            <w:szCs w:val="28"/>
            <w:u w:val="none"/>
          </w:rPr>
          <w:t xml:space="preserve">II FƏSİL. </w:t>
        </w:r>
        <w:r>
          <w:rPr>
            <w:rFonts w:ascii="Times New Roman" w:hAnsi="Times New Roman" w:cs="Times New Roman"/>
            <w:b/>
            <w:bCs/>
            <w:sz w:val="28"/>
            <w:szCs w:val="28"/>
          </w:rPr>
          <w:t>AZƏRBAYCAN RESPUBLİKASINDA SƏRHƏDDƏ TİCARƏTİN SƏMƏRƏLİLİK GÖSTƏRİCİLƏRİNİN TƏHLİLİ………………………….26</w:t>
        </w:r>
      </w:hyperlink>
    </w:p>
    <w:p w14:paraId="6CC3046C" w14:textId="77777777" w:rsidR="001F6AF2" w:rsidRDefault="00000000">
      <w:pPr>
        <w:pStyle w:val="TOC1"/>
        <w:spacing w:after="0" w:line="360" w:lineRule="auto"/>
        <w:jc w:val="both"/>
        <w:rPr>
          <w:rFonts w:ascii="Times New Roman" w:eastAsiaTheme="minorEastAsia" w:hAnsi="Times New Roman" w:cs="Times New Roman"/>
          <w:b/>
          <w:bCs/>
          <w:sz w:val="28"/>
          <w:szCs w:val="28"/>
        </w:rPr>
      </w:pPr>
      <w:hyperlink w:anchor="_Toc113615920" w:history="1">
        <w:r>
          <w:rPr>
            <w:rStyle w:val="Hyperlink"/>
            <w:rFonts w:ascii="Times New Roman" w:hAnsi="Times New Roman" w:cs="Times New Roman"/>
            <w:bCs/>
            <w:color w:val="auto"/>
            <w:sz w:val="28"/>
            <w:szCs w:val="28"/>
            <w:u w:val="none"/>
          </w:rPr>
          <w:t>2.1.</w:t>
        </w:r>
        <w:r>
          <w:rPr>
            <w:rFonts w:ascii="Times New Roman" w:hAnsi="Times New Roman" w:cs="Times New Roman"/>
            <w:sz w:val="28"/>
            <w:szCs w:val="28"/>
          </w:rPr>
          <w:t xml:space="preserve"> Azərbaycan xarici ticarət dövriyyəsinin strukturu və inkişaf dinamikası</w:t>
        </w:r>
        <w:r>
          <w:rPr>
            <w:rFonts w:ascii="Times New Roman" w:hAnsi="Times New Roman" w:cs="Times New Roman"/>
            <w:bCs/>
            <w:sz w:val="28"/>
            <w:szCs w:val="28"/>
          </w:rPr>
          <w:t>……..26</w:t>
        </w:r>
      </w:hyperlink>
    </w:p>
    <w:p w14:paraId="108D9295" w14:textId="77777777" w:rsidR="001F6AF2" w:rsidRDefault="00000000">
      <w:pPr>
        <w:pStyle w:val="TOC1"/>
        <w:spacing w:after="0" w:line="360" w:lineRule="auto"/>
        <w:jc w:val="both"/>
      </w:pPr>
      <w:hyperlink w:anchor="_Toc113615922" w:history="1">
        <w:r>
          <w:rPr>
            <w:rStyle w:val="Hyperlink"/>
            <w:rFonts w:ascii="Times New Roman" w:hAnsi="Times New Roman" w:cs="Times New Roman"/>
            <w:bCs/>
            <w:color w:val="auto"/>
            <w:sz w:val="28"/>
            <w:szCs w:val="28"/>
            <w:u w:val="none"/>
          </w:rPr>
          <w:t xml:space="preserve">2.2. </w:t>
        </w:r>
        <w:r>
          <w:rPr>
            <w:rFonts w:ascii="Times New Roman" w:hAnsi="Times New Roman" w:cs="Times New Roman"/>
            <w:sz w:val="28"/>
            <w:szCs w:val="28"/>
          </w:rPr>
          <w:t>Azərbaycan gömrük orqanlarında sərhəddə ticarətin idarə olunması və rəqəmsallaşma səviyyəsi</w:t>
        </w:r>
        <w:r>
          <w:rPr>
            <w:rFonts w:ascii="Times New Roman" w:hAnsi="Times New Roman" w:cs="Times New Roman"/>
            <w:sz w:val="28"/>
            <w:szCs w:val="28"/>
            <w:lang w:val="tr-TR"/>
          </w:rPr>
          <w:t>.........................................................................................</w:t>
        </w:r>
        <w:r>
          <w:rPr>
            <w:rFonts w:ascii="Times New Roman" w:hAnsi="Times New Roman" w:cs="Times New Roman"/>
            <w:bCs/>
            <w:sz w:val="28"/>
            <w:szCs w:val="28"/>
          </w:rPr>
          <w:t>.36</w:t>
        </w:r>
      </w:hyperlink>
    </w:p>
    <w:p w14:paraId="223D0E9C" w14:textId="77777777" w:rsidR="001F6AF2" w:rsidRDefault="00000000">
      <w:pPr>
        <w:pStyle w:val="TOC1"/>
        <w:spacing w:after="0" w:line="360" w:lineRule="auto"/>
        <w:jc w:val="both"/>
      </w:pPr>
      <w:hyperlink w:anchor="_Toc113615922" w:history="1">
        <w:r>
          <w:rPr>
            <w:rStyle w:val="Hyperlink"/>
            <w:rFonts w:ascii="Times New Roman" w:hAnsi="Times New Roman" w:cs="Times New Roman"/>
            <w:bCs/>
            <w:color w:val="auto"/>
            <w:sz w:val="28"/>
            <w:szCs w:val="28"/>
            <w:u w:val="none"/>
          </w:rPr>
          <w:t xml:space="preserve">2.3. </w:t>
        </w:r>
        <w:r>
          <w:rPr>
            <w:rFonts w:ascii="Times New Roman" w:hAnsi="Times New Roman" w:cs="Times New Roman"/>
            <w:sz w:val="28"/>
            <w:szCs w:val="28"/>
          </w:rPr>
          <w:t>Sərhəd-keçid məntəqələrində logistika, vaxt və xərclər baxımından səmərəlilik problemləri</w:t>
        </w:r>
        <w:r>
          <w:rPr>
            <w:rFonts w:ascii="Times New Roman" w:hAnsi="Times New Roman" w:cs="Times New Roman"/>
            <w:sz w:val="28"/>
            <w:szCs w:val="28"/>
            <w:lang w:val="tr-TR"/>
          </w:rPr>
          <w:t xml:space="preserve"> .............................................................................................................</w:t>
        </w:r>
        <w:r>
          <w:rPr>
            <w:rFonts w:ascii="Times New Roman" w:hAnsi="Times New Roman" w:cs="Times New Roman"/>
            <w:bCs/>
            <w:sz w:val="28"/>
            <w:szCs w:val="28"/>
          </w:rPr>
          <w:t>.43</w:t>
        </w:r>
      </w:hyperlink>
    </w:p>
    <w:p w14:paraId="1B663E28" w14:textId="77777777" w:rsidR="001F6AF2" w:rsidRDefault="00000000">
      <w:pPr>
        <w:pStyle w:val="TOC1"/>
        <w:spacing w:after="0" w:line="360" w:lineRule="auto"/>
        <w:jc w:val="both"/>
        <w:rPr>
          <w:rFonts w:ascii="Times New Roman" w:eastAsiaTheme="minorEastAsia" w:hAnsi="Times New Roman" w:cs="Times New Roman"/>
          <w:b/>
          <w:bCs/>
          <w:sz w:val="28"/>
          <w:szCs w:val="28"/>
        </w:rPr>
      </w:pPr>
      <w:r>
        <w:t>I</w:t>
      </w:r>
      <w:hyperlink w:anchor="_Toc113615919" w:history="1">
        <w:r>
          <w:rPr>
            <w:rStyle w:val="Hyperlink"/>
            <w:rFonts w:ascii="Times New Roman" w:hAnsi="Times New Roman" w:cs="Times New Roman"/>
            <w:b/>
            <w:bCs/>
            <w:color w:val="auto"/>
            <w:sz w:val="28"/>
            <w:szCs w:val="28"/>
            <w:u w:val="none"/>
          </w:rPr>
          <w:t xml:space="preserve">II FƏSİL. </w:t>
        </w:r>
        <w:r>
          <w:rPr>
            <w:rFonts w:ascii="Times New Roman" w:hAnsi="Times New Roman" w:cs="Times New Roman"/>
            <w:b/>
            <w:bCs/>
            <w:sz w:val="28"/>
            <w:szCs w:val="28"/>
          </w:rPr>
          <w:t>DÜNYA TƏCRÜBƏSINDƏ SƏRHƏDDƏ TICARƏTIN SƏMƏRƏLILIYININ ARTIRILMASI VƏ AZƏRBAYCAN ÜÇÜN TƏKMILLƏŞDIRMƏ ISTIQAMƏTLƏRI………………………………...….52</w:t>
        </w:r>
      </w:hyperlink>
    </w:p>
    <w:p w14:paraId="3C6B42F2" w14:textId="77777777" w:rsidR="001F6AF2" w:rsidRDefault="00000000">
      <w:pPr>
        <w:pStyle w:val="TOC1"/>
        <w:spacing w:after="0" w:line="360" w:lineRule="auto"/>
        <w:jc w:val="both"/>
        <w:rPr>
          <w:rFonts w:ascii="Times New Roman" w:eastAsiaTheme="minorEastAsia" w:hAnsi="Times New Roman" w:cs="Times New Roman"/>
          <w:b/>
          <w:bCs/>
          <w:sz w:val="28"/>
          <w:szCs w:val="28"/>
        </w:rPr>
      </w:pPr>
      <w:hyperlink w:anchor="_Toc113615920" w:history="1">
        <w:r>
          <w:rPr>
            <w:rStyle w:val="Hyperlink"/>
            <w:rFonts w:ascii="Times New Roman" w:hAnsi="Times New Roman" w:cs="Times New Roman"/>
            <w:bCs/>
            <w:color w:val="auto"/>
            <w:sz w:val="28"/>
            <w:szCs w:val="28"/>
            <w:u w:val="none"/>
          </w:rPr>
          <w:t>3.1.</w:t>
        </w:r>
        <w:r>
          <w:rPr>
            <w:rFonts w:ascii="Times New Roman" w:hAnsi="Times New Roman" w:cs="Times New Roman"/>
            <w:sz w:val="28"/>
            <w:szCs w:val="28"/>
          </w:rPr>
          <w:t xml:space="preserve"> Sərhəd-keçid prosedurlarının sadələşdirilməsində qabaqcıl beynəlxalq təcrübə və qlobal standartlar</w:t>
        </w:r>
        <w:r>
          <w:rPr>
            <w:rFonts w:ascii="Times New Roman" w:hAnsi="Times New Roman" w:cs="Times New Roman"/>
            <w:bCs/>
            <w:sz w:val="28"/>
            <w:szCs w:val="28"/>
          </w:rPr>
          <w:t>……………………………………………………………….52</w:t>
        </w:r>
      </w:hyperlink>
    </w:p>
    <w:p w14:paraId="79F42383" w14:textId="77777777" w:rsidR="001F6AF2" w:rsidRDefault="00000000">
      <w:pPr>
        <w:pStyle w:val="TOC1"/>
        <w:spacing w:after="0" w:line="360" w:lineRule="auto"/>
        <w:jc w:val="both"/>
      </w:pPr>
      <w:hyperlink w:anchor="_Toc113615922" w:history="1">
        <w:r>
          <w:rPr>
            <w:rStyle w:val="Hyperlink"/>
            <w:rFonts w:ascii="Times New Roman" w:hAnsi="Times New Roman" w:cs="Times New Roman"/>
            <w:bCs/>
            <w:color w:val="auto"/>
            <w:sz w:val="28"/>
            <w:szCs w:val="28"/>
            <w:u w:val="none"/>
          </w:rPr>
          <w:t xml:space="preserve">3.2. </w:t>
        </w:r>
        <w:r>
          <w:rPr>
            <w:rFonts w:ascii="Times New Roman" w:hAnsi="Times New Roman" w:cs="Times New Roman"/>
            <w:sz w:val="28"/>
            <w:szCs w:val="28"/>
          </w:rPr>
          <w:t>İnkişaf etmiş ölkələrdə sərhəddə ticarətin səmərəlilik göstəricilərinin idarə edilməsi təcrübəsi</w:t>
        </w:r>
        <w:r>
          <w:rPr>
            <w:rFonts w:ascii="Times New Roman" w:hAnsi="Times New Roman" w:cs="Times New Roman"/>
            <w:sz w:val="28"/>
            <w:szCs w:val="28"/>
            <w:lang w:val="tr-TR"/>
          </w:rPr>
          <w:t>...................................................................................................</w:t>
        </w:r>
        <w:r>
          <w:rPr>
            <w:rFonts w:ascii="Times New Roman" w:hAnsi="Times New Roman" w:cs="Times New Roman"/>
            <w:bCs/>
            <w:sz w:val="28"/>
            <w:szCs w:val="28"/>
          </w:rPr>
          <w:t>.58</w:t>
        </w:r>
      </w:hyperlink>
    </w:p>
    <w:p w14:paraId="2603647C" w14:textId="77777777" w:rsidR="001F6AF2" w:rsidRDefault="00000000">
      <w:pPr>
        <w:spacing w:after="120"/>
        <w:jc w:val="both"/>
      </w:pPr>
      <w:hyperlink w:anchor="_Toc113615922" w:history="1">
        <w:r>
          <w:rPr>
            <w:rStyle w:val="Hyperlink"/>
            <w:rFonts w:ascii="Times New Roman" w:hAnsi="Times New Roman" w:cs="Times New Roman"/>
            <w:bCs/>
            <w:color w:val="auto"/>
            <w:sz w:val="28"/>
            <w:szCs w:val="28"/>
            <w:u w:val="none"/>
          </w:rPr>
          <w:t xml:space="preserve">3.3. </w:t>
        </w:r>
        <w:r>
          <w:rPr>
            <w:rFonts w:ascii="Times New Roman" w:hAnsi="Times New Roman" w:cs="Times New Roman"/>
            <w:sz w:val="28"/>
            <w:szCs w:val="28"/>
          </w:rPr>
          <w:t>Azərbaycan üçün sərhəddə ticarət göstəricilərinin təkmilləşdirilməsi üzrə konseptual yanaşmalar və təkliflər</w:t>
        </w:r>
        <w:r>
          <w:rPr>
            <w:rFonts w:ascii="Times New Roman" w:hAnsi="Times New Roman" w:cs="Times New Roman"/>
            <w:sz w:val="28"/>
            <w:szCs w:val="28"/>
            <w:lang w:val="tr-TR"/>
          </w:rPr>
          <w:t>..........................................................................</w:t>
        </w:r>
        <w:r>
          <w:rPr>
            <w:rFonts w:ascii="Times New Roman" w:hAnsi="Times New Roman" w:cs="Times New Roman"/>
            <w:bCs/>
            <w:sz w:val="28"/>
            <w:szCs w:val="28"/>
          </w:rPr>
          <w:t>.62</w:t>
        </w:r>
      </w:hyperlink>
    </w:p>
    <w:p w14:paraId="6B32A151" w14:textId="77777777" w:rsidR="001F6AF2" w:rsidRDefault="00000000">
      <w:pPr>
        <w:spacing w:after="120"/>
        <w:rPr>
          <w:rFonts w:ascii="Times New Roman" w:hAnsi="Times New Roman" w:cs="Times New Roman"/>
          <w:b/>
          <w:bCs/>
          <w:sz w:val="28"/>
          <w:szCs w:val="28"/>
        </w:rPr>
      </w:pPr>
      <w:r>
        <w:rPr>
          <w:rFonts w:ascii="Times New Roman" w:hAnsi="Times New Roman" w:cs="Times New Roman"/>
          <w:b/>
          <w:bCs/>
          <w:sz w:val="28"/>
          <w:szCs w:val="28"/>
        </w:rPr>
        <w:t>NƏTİCƏ VƏ TƏKLİFLƏR………………………………………………….....67</w:t>
      </w:r>
    </w:p>
    <w:p w14:paraId="10638A14" w14:textId="77777777" w:rsidR="001F6AF2" w:rsidRDefault="00000000">
      <w:pPr>
        <w:spacing w:after="120"/>
        <w:rPr>
          <w:rFonts w:ascii="Times New Roman" w:hAnsi="Times New Roman" w:cs="Times New Roman"/>
          <w:b/>
          <w:bCs/>
          <w:sz w:val="28"/>
          <w:szCs w:val="28"/>
        </w:rPr>
      </w:pPr>
      <w:r>
        <w:rPr>
          <w:rFonts w:ascii="Times New Roman" w:hAnsi="Times New Roman" w:cs="Times New Roman"/>
          <w:b/>
          <w:bCs/>
          <w:sz w:val="28"/>
          <w:szCs w:val="28"/>
        </w:rPr>
        <w:t>İSTİFADƏ OLUNMUŞ ƏDƏBİYYAT SİYAHISI…………………………....70</w:t>
      </w:r>
    </w:p>
    <w:p w14:paraId="55B4D93C" w14:textId="77777777" w:rsidR="001F6AF2" w:rsidRDefault="001F6AF2">
      <w:pPr>
        <w:jc w:val="both"/>
        <w:rPr>
          <w:rFonts w:ascii="Times New Roman" w:hAnsi="Times New Roman" w:cs="Times New Roman"/>
          <w:sz w:val="28"/>
          <w:szCs w:val="28"/>
          <w:lang w:val="az-Latn-AZ"/>
        </w:rPr>
      </w:pPr>
    </w:p>
    <w:p w14:paraId="15FEC6F0" w14:textId="77777777" w:rsidR="001F6AF2" w:rsidRDefault="001F6AF2">
      <w:pPr>
        <w:jc w:val="both"/>
        <w:rPr>
          <w:rFonts w:ascii="Times New Roman" w:hAnsi="Times New Roman" w:cs="Times New Roman"/>
          <w:sz w:val="28"/>
          <w:szCs w:val="28"/>
          <w:lang w:val="az-Latn-AZ"/>
        </w:rPr>
      </w:pPr>
    </w:p>
    <w:p w14:paraId="6A22AD7E" w14:textId="77777777" w:rsidR="001F6AF2" w:rsidRDefault="001F6AF2">
      <w:pPr>
        <w:jc w:val="both"/>
        <w:rPr>
          <w:rFonts w:ascii="Times New Roman" w:hAnsi="Times New Roman" w:cs="Times New Roman"/>
          <w:sz w:val="28"/>
          <w:szCs w:val="28"/>
          <w:lang w:val="az-Latn-AZ"/>
        </w:rPr>
      </w:pPr>
    </w:p>
    <w:p w14:paraId="4F669F7A" w14:textId="77777777" w:rsidR="001F6AF2" w:rsidRDefault="00000000">
      <w:pPr>
        <w:jc w:val="both"/>
        <w:rPr>
          <w:rFonts w:ascii="Times New Roman" w:hAnsi="Times New Roman" w:cs="Times New Roman"/>
        </w:rPr>
        <w:sectPr w:rsidR="001F6AF2">
          <w:footerReference w:type="default" r:id="rId9"/>
          <w:pgSz w:w="11906" w:h="16838"/>
          <w:pgMar w:top="1134" w:right="851" w:bottom="1134" w:left="1701" w:header="709" w:footer="709" w:gutter="0"/>
          <w:pgNumType w:start="3"/>
          <w:cols w:space="708"/>
          <w:docGrid w:linePitch="360"/>
        </w:sectPr>
      </w:pPr>
      <w:r>
        <w:rPr>
          <w:rFonts w:ascii="Times New Roman" w:hAnsi="Times New Roman" w:cs="Times New Roman"/>
          <w:sz w:val="28"/>
          <w:szCs w:val="28"/>
        </w:rPr>
        <w:fldChar w:fldCharType="end"/>
      </w:r>
    </w:p>
    <w:p w14:paraId="2F00E9F5" w14:textId="77777777" w:rsidR="001F6AF2" w:rsidRDefault="00000000">
      <w:pPr>
        <w:pStyle w:val="Heading1"/>
        <w:jc w:val="center"/>
        <w:rPr>
          <w:rFonts w:ascii="Times New Roman" w:hAnsi="Times New Roman" w:cs="Times New Roman"/>
          <w:b/>
          <w:bCs/>
          <w:color w:val="auto"/>
          <w:sz w:val="28"/>
          <w:szCs w:val="28"/>
        </w:rPr>
      </w:pPr>
      <w:r>
        <w:rPr>
          <w:rFonts w:ascii="Times New Roman" w:hAnsi="Times New Roman" w:cs="Times New Roman"/>
          <w:b/>
          <w:bCs/>
          <w:color w:val="auto"/>
          <w:sz w:val="28"/>
          <w:szCs w:val="28"/>
        </w:rPr>
        <w:t>GİRİŞ</w:t>
      </w:r>
    </w:p>
    <w:p w14:paraId="511C1F4A" w14:textId="77777777" w:rsidR="001F6AF2" w:rsidRDefault="00000000">
      <w:pPr>
        <w:pStyle w:val="NormalWeb"/>
        <w:shd w:val="clear" w:color="auto" w:fill="FFFFFF"/>
        <w:spacing w:before="0" w:line="360" w:lineRule="auto"/>
        <w:ind w:firstLine="709"/>
        <w:jc w:val="both"/>
        <w:rPr>
          <w:b/>
          <w:bCs/>
          <w:sz w:val="28"/>
          <w:szCs w:val="28"/>
          <w:lang w:val="tr-TR"/>
        </w:rPr>
      </w:pPr>
      <w:r>
        <w:rPr>
          <w:b/>
          <w:sz w:val="28"/>
          <w:szCs w:val="28"/>
          <w:lang w:val="az-Latn-AZ" w:eastAsia="az-Latn-AZ"/>
        </w:rPr>
        <w:t>Mövzunun aktuallığı:</w:t>
      </w:r>
      <w:r>
        <w:rPr>
          <w:lang w:val="az-Latn-AZ"/>
        </w:rPr>
        <w:t xml:space="preserve"> </w:t>
      </w:r>
      <w:r>
        <w:rPr>
          <w:sz w:val="28"/>
          <w:szCs w:val="28"/>
          <w:lang w:val="tr-TR"/>
        </w:rPr>
        <w:t>Qlobal ticarət əlaqələrinin genişlənməsi, beynəlxalq nəqliyyat marşrutlarının şaxələnməsi və rəqəmsal logistik sistemlərin sürətlə inkişafı sərhəddə ticarət proseslərinin səmərəliliyini ölkələrin iqtisadi inkişafında əsas determinantlardan birinə çevirmişdir. Xarici ticarətin həcminin artması, yeni bazarlara çıxış imkanlarının genişlənməsi və regionlararası ticarət axınlarının intensivləşməsi sərhəd-keçid məntəqələrində vaxt, logistika və əməliyyat xərclərinin optimallaşdırılmasını daha vacib etmişdir. Sərhəddə ticarətin səmərəliliyi birbaşa olaraq mal dövriyyəsinin sürətinə, gömrük prosedurlarının sadələşdirilməsinə, nəqliyyat xərclərinin azaldılmasına və tranzit potensialının artırılmasına təsir göstərir.</w:t>
      </w:r>
    </w:p>
    <w:p w14:paraId="3EE93811"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Azərbaycanın geostrateji mövqeyi, Şərq-Qərb və Şimal-Cənub nəqliyyat dəhlizlərinin kəsişmə nöqtəsi olması sərhəddə ticarətin səmərəliliyinin yüksəldilməsini milli iqtisadiyyat üçün prioritet istiqamətə çevirir. Son illərdə rəqəmsal gömrük sistemlərinin tətbiqi, “Smart Customs”, “Green Corridor”, elektron deklarasiya, elektron növbə və avtomatlaşdırılmış risk idarəetməsi kimi innovativ həllər ölkənin beynəlxalq ticarət reytinqlərində mövqeyinin yaxşılaşmasına töhfə vermişdir. Bununla belə, yükdaşımalarda gecikmələr, logistika əməliyyatlarının bir-biri ilə tam inteqrasiya olunmaması, sərhəd-keçid məntəqələrində qeyri-bərabər infrastruktur yükü, xərclərin yüksəkliyi və bəzi prosedur maneələri səmərəlilik göstəricilərinin daha da təkmilləşdirilməsinin aktuallığını artırır.</w:t>
      </w:r>
    </w:p>
    <w:p w14:paraId="1418CA62"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Beynəlxalq təşkilatların – WTO Ticarətin Asanlaşdırılması Anlaşması, WCO SAFE Framework, OECD Trade Facilitation Indicators – sərhəd proseslərinin optimallaşdırılması üzrə standartları ölkələrin rəqabət qabiliyyətinin yüksəldilməsində əsas meyar kimi qiymətləndirilir. Bu kontekstdə Azərbaycanın ticarət logistikası, gömrük əməliyyatları və sərhəd idarəçiliyi üzrə səmərəlilik göstəricilərinin beynəlxalq meyarlarla müqayisədə təhlili və təkmilləşdirilməsi xüsusi elmi-praktik əhəmiyyət kəsb edir. Sərhəddə ticarət göstəricilərinin səmərəliliyinin artırılması Azərbaycanda xarici ticarətin rəqabət qabiliyyətini gücləndirən, tranzit funksiyasını genişləndirən və qeyri-neft sektorunun ixrac imkanlarını artıran mühüm iqtisadi və institusional məsələdir.</w:t>
      </w:r>
    </w:p>
    <w:p w14:paraId="1618BBCA" w14:textId="77777777" w:rsidR="001F6AF2" w:rsidRDefault="00000000">
      <w:pPr>
        <w:pStyle w:val="NormalWeb"/>
        <w:shd w:val="clear" w:color="auto" w:fill="FFFFFF"/>
        <w:spacing w:before="0" w:beforeAutospacing="0" w:after="0" w:afterAutospacing="0" w:line="360" w:lineRule="auto"/>
        <w:ind w:firstLine="709"/>
        <w:jc w:val="both"/>
        <w:rPr>
          <w:b/>
          <w:bCs/>
          <w:sz w:val="28"/>
          <w:szCs w:val="28"/>
          <w:lang w:val="tr-TR"/>
        </w:rPr>
      </w:pPr>
      <w:r>
        <w:rPr>
          <w:b/>
          <w:bCs/>
          <w:sz w:val="28"/>
          <w:szCs w:val="28"/>
          <w:lang w:val="tr-TR"/>
        </w:rPr>
        <w:t xml:space="preserve">Problemin qoyuluşu və öyrənilmə səviyyəsi: </w:t>
      </w:r>
      <w:r>
        <w:rPr>
          <w:sz w:val="28"/>
          <w:szCs w:val="28"/>
          <w:lang w:val="tr-TR"/>
        </w:rPr>
        <w:t>Sərhəddə ticarətin səmərəliliyi mövzusu üzrə beynəlxalq səviyyədə geniş tədqiqatlar aparılmışdır. WTO, WCO və OECD-nin hesabatlarında vaxt-ölçü indikatorları, sərhəd prosedurlarının xərcləri, logistika performansı, gömrükdə risklərin idarə edilməsi və rəqəmsallaşma kimi məsələlərin iqtisadi təsiri sistemli şəkildə izah edilmişdir. Djankov, Freund, Portugal-Perez, Wilson kimi tədqiqatçılar sərhəd ləngimələrinin ixracatçılar, idxalçılar və ümumi iqtisadi artım üzərində təsirini empirik modellərlə qiymətləndirmişlər.</w:t>
      </w:r>
    </w:p>
    <w:p w14:paraId="4DE8F1F9"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Azərbaycan üzrə aparılmış tədqiqatlar əsasən xarici ticarət dövriyyəsinin statistik təhlili, gömrük islahatlarının təsiri və logistika göstəricilərinin qiymətləndirilməsi ilə məhdudlaşmışdır. Lakin sərhəddə ticarət səmərəliliyinin ölçülməsi, sərhəd-keçid məntəqələrində vaxt-xərc optimallaşdırılması, rəqəmsal gömrük həllərinin effektivliyi və beynəlxalq təcrübənin Azərbaycan üçün uyğunlaşdırılması istiqamətində kompleks və model əsaslı tədqiqatlar hələ də kifayət qədər geniş işlənməmişdir.</w:t>
      </w:r>
    </w:p>
    <w:p w14:paraId="7C97C322" w14:textId="77777777" w:rsidR="001F6AF2" w:rsidRDefault="00000000">
      <w:pPr>
        <w:pStyle w:val="NormalWeb"/>
        <w:shd w:val="clear" w:color="auto" w:fill="FFFFFF"/>
        <w:spacing w:before="0" w:beforeAutospacing="0" w:after="0" w:afterAutospacing="0" w:line="360" w:lineRule="auto"/>
        <w:ind w:firstLine="709"/>
        <w:jc w:val="both"/>
        <w:rPr>
          <w:b/>
          <w:bCs/>
          <w:sz w:val="28"/>
          <w:szCs w:val="28"/>
          <w:lang w:val="tr-TR"/>
        </w:rPr>
      </w:pPr>
      <w:r>
        <w:rPr>
          <w:b/>
          <w:bCs/>
          <w:sz w:val="28"/>
          <w:szCs w:val="28"/>
          <w:lang w:val="tr-TR"/>
        </w:rPr>
        <w:t xml:space="preserve">Tədqiqatın məqsədi və vəzifələri: </w:t>
      </w:r>
      <w:r>
        <w:rPr>
          <w:sz w:val="28"/>
          <w:szCs w:val="28"/>
          <w:lang w:val="tr-TR"/>
        </w:rPr>
        <w:t>Tədqiqatın məqsədi – Azərbaycanda sərhəddə ticarət səmərəlilik göstəricilərinin mövcud vəziyyətini təhlil etmək, institusional və əməliyyat problemlərini müəyyənləşdirmək və səmərəliliyin artırılması üçün elmi əsaslandırılmış təkmilləşdirmə istiqamətləri hazırlamaqdır.</w:t>
      </w:r>
    </w:p>
    <w:p w14:paraId="6525DBD9"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Bu məqsədə uyğun olaraq aşağıdakı vəzifələr müəyyən edilir:</w:t>
      </w:r>
    </w:p>
    <w:p w14:paraId="786FEE44"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 Sərhəddə ticarətin iqtisadi mahiyyətinin və səmərəlilik meyarlarının nəzəri əsaslarının araşdırılması;</w:t>
      </w:r>
    </w:p>
    <w:p w14:paraId="7914B01E"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 Azərbaycan xarici ticarətinin strukturunun və dinamikasının təhlili;</w:t>
      </w:r>
    </w:p>
    <w:p w14:paraId="29B57433"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 Gömrük orqanlarında sərhəd proseslərinin idarə olunması, rəqəmsallaşma səviyyəsi və risk əsaslı yanaşmanın qiymətləndirilməsi;</w:t>
      </w:r>
    </w:p>
    <w:p w14:paraId="31378166"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 Sərhəd-keçid məntəqələrində vaxt, logistika və əməliyyat xərcləri üzrə səmərəlilik problemlərinin müəyyənləşdirilməsi;</w:t>
      </w:r>
    </w:p>
    <w:p w14:paraId="396BFAB9"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 WTO, WCO və OECD standartlarının tətbiq imkanlarının araşdırılması;</w:t>
      </w:r>
    </w:p>
    <w:p w14:paraId="7E7E6EC9"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 İnkişaf etmiş ölkələrin sərhəd idarəçiliyi təcrübəsinin müqayisəli analizi;</w:t>
      </w:r>
    </w:p>
    <w:p w14:paraId="536CFE38"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sz w:val="28"/>
          <w:szCs w:val="28"/>
          <w:lang w:val="tr-TR"/>
        </w:rPr>
        <w:t>• Azərbaycan üçün sərhəddə ticarət səmərəliliyinin artırılması üzrə konseptual yanaşmaların formalaşdırılması.</w:t>
      </w:r>
    </w:p>
    <w:p w14:paraId="17618516" w14:textId="77777777" w:rsidR="001F6AF2" w:rsidRDefault="00000000">
      <w:pPr>
        <w:pStyle w:val="NormalWeb"/>
        <w:shd w:val="clear" w:color="auto" w:fill="FFFFFF"/>
        <w:spacing w:before="0" w:beforeAutospacing="0" w:after="0" w:afterAutospacing="0" w:line="360" w:lineRule="auto"/>
        <w:ind w:firstLine="709"/>
        <w:jc w:val="both"/>
        <w:rPr>
          <w:b/>
          <w:bCs/>
          <w:sz w:val="28"/>
          <w:szCs w:val="28"/>
          <w:lang w:val="tr-TR"/>
        </w:rPr>
      </w:pPr>
      <w:r>
        <w:rPr>
          <w:b/>
          <w:bCs/>
          <w:sz w:val="28"/>
          <w:szCs w:val="28"/>
          <w:lang w:val="tr-TR"/>
        </w:rPr>
        <w:t xml:space="preserve">Tədqiqatın obyekti və predmeti: </w:t>
      </w:r>
      <w:r>
        <w:rPr>
          <w:sz w:val="28"/>
          <w:szCs w:val="28"/>
          <w:lang w:val="tr-TR"/>
        </w:rPr>
        <w:t>Obyekt – Azərbaycan Respublikasında sərhəddə ticarət əməliyyatları və gömrük idarəçiliyi sistemidir. Predmet – sərhəddə ticarət səmərəliliyinə təsir edən institusional, texnoloji, logistika və idarəetmə amilləridir.</w:t>
      </w:r>
    </w:p>
    <w:p w14:paraId="133B4F32" w14:textId="77777777" w:rsidR="001F6AF2" w:rsidRDefault="00000000">
      <w:pPr>
        <w:pStyle w:val="NormalWeb"/>
        <w:shd w:val="clear" w:color="auto" w:fill="FFFFFF"/>
        <w:spacing w:before="0" w:beforeAutospacing="0" w:after="0" w:afterAutospacing="0" w:line="360" w:lineRule="auto"/>
        <w:ind w:firstLine="709"/>
        <w:jc w:val="both"/>
        <w:rPr>
          <w:sz w:val="28"/>
          <w:szCs w:val="28"/>
          <w:lang w:val="tr-TR"/>
        </w:rPr>
      </w:pPr>
      <w:r>
        <w:rPr>
          <w:b/>
          <w:bCs/>
          <w:sz w:val="28"/>
          <w:szCs w:val="28"/>
          <w:lang w:val="tr-TR"/>
        </w:rPr>
        <w:t xml:space="preserve">Tədqiqat metodları: </w:t>
      </w:r>
      <w:r>
        <w:rPr>
          <w:sz w:val="28"/>
          <w:szCs w:val="28"/>
          <w:lang w:val="tr-TR"/>
        </w:rPr>
        <w:t>Araşdırmada sistemli yanaşma, müqayisəli təhlil, iqtisadi-statistik metodlar, dinamika analizi, normativ-hüquqi təhlil, həmçinin beynəlxalq indekslərin müqayisə metodu tətbiq edilmişdir.</w:t>
      </w:r>
    </w:p>
    <w:p w14:paraId="6559FF76" w14:textId="77777777" w:rsidR="001F6AF2" w:rsidRDefault="00000000">
      <w:pPr>
        <w:pStyle w:val="NormalWeb"/>
        <w:shd w:val="clear" w:color="auto" w:fill="FFFFFF"/>
        <w:spacing w:before="0" w:beforeAutospacing="0" w:after="0" w:afterAutospacing="0" w:line="360" w:lineRule="auto"/>
        <w:ind w:firstLine="709"/>
        <w:jc w:val="both"/>
        <w:rPr>
          <w:b/>
          <w:bCs/>
          <w:sz w:val="28"/>
          <w:szCs w:val="28"/>
          <w:lang w:val="tr-TR"/>
        </w:rPr>
      </w:pPr>
      <w:r>
        <w:rPr>
          <w:b/>
          <w:bCs/>
          <w:sz w:val="28"/>
          <w:szCs w:val="28"/>
          <w:lang w:val="tr-TR"/>
        </w:rPr>
        <w:t xml:space="preserve">Tədqiqatın informasiya bazası: </w:t>
      </w:r>
      <w:r>
        <w:rPr>
          <w:sz w:val="28"/>
          <w:szCs w:val="28"/>
          <w:lang w:val="tr-TR"/>
        </w:rPr>
        <w:t>İnformasiya bazasını Dövlət Gömrük Komitəsinin statistik məlumatları, Dövlət Statistika Komitəsinin xarici ticarət hesabatları, WTO, WCO, OECD, UNCTAD məlumat bazaları, Dünya Bankının LPI indeksləri, eləcə də yerli və xarici elmi mənbələr təşkil edir.</w:t>
      </w:r>
    </w:p>
    <w:p w14:paraId="48AA4AF3" w14:textId="77777777" w:rsidR="001F6AF2" w:rsidRDefault="00000000">
      <w:pPr>
        <w:pStyle w:val="NormalWeb"/>
        <w:shd w:val="clear" w:color="auto" w:fill="FFFFFF"/>
        <w:spacing w:before="0" w:beforeAutospacing="0" w:after="0" w:afterAutospacing="0" w:line="360" w:lineRule="auto"/>
        <w:ind w:firstLine="709"/>
        <w:jc w:val="both"/>
        <w:rPr>
          <w:b/>
          <w:bCs/>
          <w:sz w:val="28"/>
          <w:szCs w:val="28"/>
          <w:lang w:val="tr-TR"/>
        </w:rPr>
      </w:pPr>
      <w:r>
        <w:rPr>
          <w:b/>
          <w:bCs/>
          <w:sz w:val="28"/>
          <w:szCs w:val="28"/>
          <w:lang w:val="tr-TR"/>
        </w:rPr>
        <w:t xml:space="preserve">Tədqiqatın məhdudiyyətləri: </w:t>
      </w:r>
      <w:r>
        <w:rPr>
          <w:sz w:val="28"/>
          <w:szCs w:val="28"/>
          <w:lang w:val="tr-TR"/>
        </w:rPr>
        <w:t>Məhdudiyyətlərə sərhəd-keçid məntəqələri üzrə detallı vaxt-xərc ölçümlərinin tam əlçatan olmaması, müxtəlif illər üzrə statistik metodologiyada fərqlərin mövcudluğu, bəzi gömrük məlumatlarının kommersiya və təhlükəsizlik səbəbilə açıqlanmaması daxildir. Eyni zamanda, beynəlxalq müqayisələrdə infrastruktur və hüquqi mühit fərqləri nəticələrin interpretasiyasını çətinləşdirir.</w:t>
      </w:r>
    </w:p>
    <w:p w14:paraId="480A3A7F" w14:textId="77777777" w:rsidR="001F6AF2" w:rsidRDefault="00000000">
      <w:pPr>
        <w:pStyle w:val="NormalWeb"/>
        <w:shd w:val="clear" w:color="auto" w:fill="FFFFFF"/>
        <w:spacing w:before="0" w:beforeAutospacing="0" w:after="0" w:afterAutospacing="0" w:line="360" w:lineRule="auto"/>
        <w:ind w:firstLine="709"/>
        <w:jc w:val="both"/>
        <w:rPr>
          <w:b/>
          <w:bCs/>
          <w:sz w:val="28"/>
          <w:szCs w:val="28"/>
          <w:lang w:val="tr-TR"/>
        </w:rPr>
      </w:pPr>
      <w:r>
        <w:rPr>
          <w:b/>
          <w:bCs/>
          <w:sz w:val="28"/>
          <w:szCs w:val="28"/>
          <w:lang w:val="tr-TR"/>
        </w:rPr>
        <w:t xml:space="preserve">Tədqiqatın elmi yeniliyi: </w:t>
      </w:r>
      <w:r>
        <w:rPr>
          <w:sz w:val="28"/>
          <w:szCs w:val="28"/>
          <w:lang w:val="tr-TR"/>
        </w:rPr>
        <w:t>Tədqiqat ilk dəfə olaraq sərhəddə ticarət səmərəlilik göstəricilərini Azərbaycan üzrə kompleks şəkildə qiymətləndirir, WTO–WCO–OECD yanaşmalarını milli modelə inteqrasiya edir və sərhəd proseslərinin optimallaşdırılması üçün yeni konseptual çərçivə təqdim edir. Səmərəlilik meyarlarının çoxölçülü analizi və rəqəmsal gömrük həllərinin iqtisadi təsirinin qiymətləndirilməsi araşdırmanın innovativ tərəfini təşkil edir.</w:t>
      </w:r>
    </w:p>
    <w:p w14:paraId="4B72FB65" w14:textId="77777777" w:rsidR="001F6AF2" w:rsidRDefault="00000000">
      <w:pPr>
        <w:pStyle w:val="NormalWeb"/>
        <w:shd w:val="clear" w:color="auto" w:fill="FFFFFF"/>
        <w:spacing w:before="0" w:beforeAutospacing="0" w:after="0" w:afterAutospacing="0" w:line="360" w:lineRule="auto"/>
        <w:ind w:firstLine="709"/>
        <w:jc w:val="both"/>
        <w:rPr>
          <w:b/>
          <w:bCs/>
          <w:sz w:val="28"/>
          <w:szCs w:val="28"/>
          <w:lang w:val="tr-TR"/>
        </w:rPr>
      </w:pPr>
      <w:r>
        <w:rPr>
          <w:b/>
          <w:bCs/>
          <w:sz w:val="28"/>
          <w:szCs w:val="28"/>
          <w:lang w:val="az-Latn-AZ"/>
        </w:rPr>
        <w:t>Nəticələrin</w:t>
      </w:r>
      <w:r>
        <w:rPr>
          <w:b/>
          <w:bCs/>
          <w:spacing w:val="-3"/>
          <w:sz w:val="28"/>
          <w:szCs w:val="28"/>
          <w:lang w:val="az-Latn-AZ"/>
        </w:rPr>
        <w:t xml:space="preserve"> </w:t>
      </w:r>
      <w:r>
        <w:rPr>
          <w:b/>
          <w:bCs/>
          <w:sz w:val="28"/>
          <w:szCs w:val="28"/>
          <w:lang w:val="az-Latn-AZ"/>
        </w:rPr>
        <w:t>praktiki</w:t>
      </w:r>
      <w:r>
        <w:rPr>
          <w:b/>
          <w:bCs/>
          <w:spacing w:val="-1"/>
          <w:sz w:val="28"/>
          <w:szCs w:val="28"/>
          <w:lang w:val="az-Latn-AZ"/>
        </w:rPr>
        <w:t xml:space="preserve"> </w:t>
      </w:r>
      <w:r>
        <w:rPr>
          <w:b/>
          <w:bCs/>
          <w:sz w:val="28"/>
          <w:szCs w:val="28"/>
          <w:lang w:val="az-Latn-AZ"/>
        </w:rPr>
        <w:t>əhəmiyyəti</w:t>
      </w:r>
      <w:r>
        <w:rPr>
          <w:b/>
          <w:bCs/>
          <w:spacing w:val="-2"/>
          <w:sz w:val="28"/>
          <w:szCs w:val="28"/>
          <w:lang w:val="az-Latn-AZ"/>
        </w:rPr>
        <w:t xml:space="preserve"> </w:t>
      </w:r>
      <w:r>
        <w:rPr>
          <w:b/>
          <w:bCs/>
          <w:sz w:val="28"/>
          <w:szCs w:val="28"/>
          <w:lang w:val="az-Latn-AZ"/>
        </w:rPr>
        <w:t>və</w:t>
      </w:r>
      <w:r>
        <w:rPr>
          <w:b/>
          <w:bCs/>
          <w:spacing w:val="-3"/>
          <w:sz w:val="28"/>
          <w:szCs w:val="28"/>
          <w:lang w:val="az-Latn-AZ"/>
        </w:rPr>
        <w:t xml:space="preserve"> </w:t>
      </w:r>
      <w:r>
        <w:rPr>
          <w:b/>
          <w:bCs/>
          <w:sz w:val="28"/>
          <w:szCs w:val="28"/>
          <w:lang w:val="az-Latn-AZ"/>
        </w:rPr>
        <w:t>tətbiq</w:t>
      </w:r>
      <w:r>
        <w:rPr>
          <w:b/>
          <w:bCs/>
          <w:spacing w:val="-2"/>
          <w:sz w:val="28"/>
          <w:szCs w:val="28"/>
          <w:lang w:val="az-Latn-AZ"/>
        </w:rPr>
        <w:t xml:space="preserve"> </w:t>
      </w:r>
      <w:r>
        <w:rPr>
          <w:b/>
          <w:bCs/>
          <w:sz w:val="28"/>
          <w:szCs w:val="28"/>
          <w:lang w:val="az-Latn-AZ"/>
        </w:rPr>
        <w:t>sahələri:</w:t>
      </w:r>
      <w:r>
        <w:rPr>
          <w:sz w:val="28"/>
          <w:szCs w:val="28"/>
          <w:lang w:val="az-Latn-AZ"/>
        </w:rPr>
        <w:t xml:space="preserve"> </w:t>
      </w:r>
      <w:proofErr w:type="spellStart"/>
      <w:r>
        <w:rPr>
          <w:sz w:val="28"/>
          <w:szCs w:val="28"/>
          <w:lang w:val="en-US"/>
        </w:rPr>
        <w:t>Tədqiqatın</w:t>
      </w:r>
      <w:proofErr w:type="spellEnd"/>
      <w:r>
        <w:rPr>
          <w:sz w:val="28"/>
          <w:szCs w:val="28"/>
          <w:lang w:val="en-US"/>
        </w:rPr>
        <w:t xml:space="preserve"> </w:t>
      </w:r>
      <w:proofErr w:type="spellStart"/>
      <w:r>
        <w:rPr>
          <w:sz w:val="28"/>
          <w:szCs w:val="28"/>
          <w:lang w:val="en-US"/>
        </w:rPr>
        <w:t>nəticələri</w:t>
      </w:r>
      <w:proofErr w:type="spellEnd"/>
      <w:r>
        <w:rPr>
          <w:sz w:val="28"/>
          <w:szCs w:val="28"/>
          <w:lang w:val="en-US"/>
        </w:rPr>
        <w:t xml:space="preserve"> </w:t>
      </w:r>
      <w:proofErr w:type="spellStart"/>
      <w:r>
        <w:rPr>
          <w:sz w:val="28"/>
          <w:szCs w:val="28"/>
          <w:lang w:val="en-US"/>
        </w:rPr>
        <w:t>sərhəd-keçid</w:t>
      </w:r>
      <w:proofErr w:type="spellEnd"/>
      <w:r>
        <w:rPr>
          <w:sz w:val="28"/>
          <w:szCs w:val="28"/>
          <w:lang w:val="en-US"/>
        </w:rPr>
        <w:t xml:space="preserve"> </w:t>
      </w:r>
      <w:proofErr w:type="spellStart"/>
      <w:r>
        <w:rPr>
          <w:sz w:val="28"/>
          <w:szCs w:val="28"/>
          <w:lang w:val="en-US"/>
        </w:rPr>
        <w:t>məntəqələrinin</w:t>
      </w:r>
      <w:proofErr w:type="spellEnd"/>
      <w:r>
        <w:rPr>
          <w:sz w:val="28"/>
          <w:szCs w:val="28"/>
          <w:lang w:val="en-US"/>
        </w:rPr>
        <w:t xml:space="preserve"> </w:t>
      </w:r>
      <w:proofErr w:type="spellStart"/>
      <w:r>
        <w:rPr>
          <w:sz w:val="28"/>
          <w:szCs w:val="28"/>
          <w:lang w:val="en-US"/>
        </w:rPr>
        <w:t>idarə</w:t>
      </w:r>
      <w:proofErr w:type="spellEnd"/>
      <w:r>
        <w:rPr>
          <w:sz w:val="28"/>
          <w:szCs w:val="28"/>
          <w:lang w:val="en-US"/>
        </w:rPr>
        <w:t xml:space="preserve"> </w:t>
      </w:r>
      <w:proofErr w:type="spellStart"/>
      <w:r>
        <w:rPr>
          <w:sz w:val="28"/>
          <w:szCs w:val="28"/>
          <w:lang w:val="en-US"/>
        </w:rPr>
        <w:t>olunmasının</w:t>
      </w:r>
      <w:proofErr w:type="spellEnd"/>
      <w:r>
        <w:rPr>
          <w:sz w:val="28"/>
          <w:szCs w:val="28"/>
          <w:lang w:val="en-US"/>
        </w:rPr>
        <w:t xml:space="preserve"> </w:t>
      </w:r>
      <w:proofErr w:type="spellStart"/>
      <w:r>
        <w:rPr>
          <w:sz w:val="28"/>
          <w:szCs w:val="28"/>
          <w:lang w:val="en-US"/>
        </w:rPr>
        <w:t>təkmilləşdirilməsi</w:t>
      </w:r>
      <w:proofErr w:type="spellEnd"/>
      <w:r>
        <w:rPr>
          <w:sz w:val="28"/>
          <w:szCs w:val="28"/>
          <w:lang w:val="en-US"/>
        </w:rPr>
        <w:t xml:space="preserve">, </w:t>
      </w:r>
      <w:proofErr w:type="spellStart"/>
      <w:r>
        <w:rPr>
          <w:sz w:val="28"/>
          <w:szCs w:val="28"/>
          <w:lang w:val="en-US"/>
        </w:rPr>
        <w:t>logistika</w:t>
      </w:r>
      <w:proofErr w:type="spellEnd"/>
      <w:r>
        <w:rPr>
          <w:sz w:val="28"/>
          <w:szCs w:val="28"/>
          <w:lang w:val="en-US"/>
        </w:rPr>
        <w:t xml:space="preserve"> </w:t>
      </w:r>
      <w:proofErr w:type="spellStart"/>
      <w:r>
        <w:rPr>
          <w:sz w:val="28"/>
          <w:szCs w:val="28"/>
          <w:lang w:val="en-US"/>
        </w:rPr>
        <w:t>xərclərinin</w:t>
      </w:r>
      <w:proofErr w:type="spellEnd"/>
      <w:r>
        <w:rPr>
          <w:sz w:val="28"/>
          <w:szCs w:val="28"/>
          <w:lang w:val="en-US"/>
        </w:rPr>
        <w:t xml:space="preserve"> </w:t>
      </w:r>
      <w:proofErr w:type="spellStart"/>
      <w:r>
        <w:rPr>
          <w:sz w:val="28"/>
          <w:szCs w:val="28"/>
          <w:lang w:val="en-US"/>
        </w:rPr>
        <w:t>azaldılması</w:t>
      </w:r>
      <w:proofErr w:type="spellEnd"/>
      <w:r>
        <w:rPr>
          <w:sz w:val="28"/>
          <w:szCs w:val="28"/>
          <w:lang w:val="en-US"/>
        </w:rPr>
        <w:t xml:space="preserve">, </w:t>
      </w:r>
      <w:proofErr w:type="spellStart"/>
      <w:r>
        <w:rPr>
          <w:sz w:val="28"/>
          <w:szCs w:val="28"/>
          <w:lang w:val="en-US"/>
        </w:rPr>
        <w:t>gömrük</w:t>
      </w:r>
      <w:proofErr w:type="spellEnd"/>
      <w:r>
        <w:rPr>
          <w:sz w:val="28"/>
          <w:szCs w:val="28"/>
          <w:lang w:val="en-US"/>
        </w:rPr>
        <w:t xml:space="preserve"> </w:t>
      </w:r>
      <w:proofErr w:type="spellStart"/>
      <w:r>
        <w:rPr>
          <w:sz w:val="28"/>
          <w:szCs w:val="28"/>
          <w:lang w:val="en-US"/>
        </w:rPr>
        <w:t>proseslərinin</w:t>
      </w:r>
      <w:proofErr w:type="spellEnd"/>
      <w:r>
        <w:rPr>
          <w:sz w:val="28"/>
          <w:szCs w:val="28"/>
          <w:lang w:val="en-US"/>
        </w:rPr>
        <w:t xml:space="preserve"> </w:t>
      </w:r>
      <w:proofErr w:type="spellStart"/>
      <w:r>
        <w:rPr>
          <w:sz w:val="28"/>
          <w:szCs w:val="28"/>
          <w:lang w:val="en-US"/>
        </w:rPr>
        <w:t>rəqəmsallaşdırılması</w:t>
      </w:r>
      <w:proofErr w:type="spellEnd"/>
      <w:r>
        <w:rPr>
          <w:sz w:val="28"/>
          <w:szCs w:val="28"/>
          <w:lang w:val="en-US"/>
        </w:rPr>
        <w:t xml:space="preserve">, </w:t>
      </w:r>
      <w:proofErr w:type="spellStart"/>
      <w:r>
        <w:rPr>
          <w:sz w:val="28"/>
          <w:szCs w:val="28"/>
          <w:lang w:val="en-US"/>
        </w:rPr>
        <w:t>nəqliyyat</w:t>
      </w:r>
      <w:proofErr w:type="spellEnd"/>
      <w:r>
        <w:rPr>
          <w:sz w:val="28"/>
          <w:szCs w:val="28"/>
          <w:lang w:val="en-US"/>
        </w:rPr>
        <w:t xml:space="preserve"> </w:t>
      </w:r>
      <w:proofErr w:type="spellStart"/>
      <w:r>
        <w:rPr>
          <w:sz w:val="28"/>
          <w:szCs w:val="28"/>
          <w:lang w:val="en-US"/>
        </w:rPr>
        <w:t>dəhlizlərinin</w:t>
      </w:r>
      <w:proofErr w:type="spellEnd"/>
      <w:r>
        <w:rPr>
          <w:sz w:val="28"/>
          <w:szCs w:val="28"/>
          <w:lang w:val="en-US"/>
        </w:rPr>
        <w:t xml:space="preserve"> </w:t>
      </w:r>
      <w:proofErr w:type="spellStart"/>
      <w:r>
        <w:rPr>
          <w:sz w:val="28"/>
          <w:szCs w:val="28"/>
          <w:lang w:val="en-US"/>
        </w:rPr>
        <w:t>effektivliyinin</w:t>
      </w:r>
      <w:proofErr w:type="spellEnd"/>
      <w:r>
        <w:rPr>
          <w:sz w:val="28"/>
          <w:szCs w:val="28"/>
          <w:lang w:val="en-US"/>
        </w:rPr>
        <w:t xml:space="preserve"> </w:t>
      </w:r>
      <w:proofErr w:type="spellStart"/>
      <w:r>
        <w:rPr>
          <w:sz w:val="28"/>
          <w:szCs w:val="28"/>
          <w:lang w:val="en-US"/>
        </w:rPr>
        <w:t>artırılması</w:t>
      </w:r>
      <w:proofErr w:type="spellEnd"/>
      <w:r>
        <w:rPr>
          <w:sz w:val="28"/>
          <w:szCs w:val="28"/>
          <w:lang w:val="en-US"/>
        </w:rPr>
        <w:t xml:space="preserve"> </w:t>
      </w:r>
      <w:proofErr w:type="spellStart"/>
      <w:r>
        <w:rPr>
          <w:sz w:val="28"/>
          <w:szCs w:val="28"/>
          <w:lang w:val="en-US"/>
        </w:rPr>
        <w:t>və</w:t>
      </w:r>
      <w:proofErr w:type="spellEnd"/>
      <w:r>
        <w:rPr>
          <w:sz w:val="28"/>
          <w:szCs w:val="28"/>
          <w:lang w:val="en-US"/>
        </w:rPr>
        <w:t xml:space="preserve"> </w:t>
      </w:r>
      <w:proofErr w:type="spellStart"/>
      <w:r>
        <w:rPr>
          <w:sz w:val="28"/>
          <w:szCs w:val="28"/>
          <w:lang w:val="en-US"/>
        </w:rPr>
        <w:t>Azərbaycanın</w:t>
      </w:r>
      <w:proofErr w:type="spellEnd"/>
      <w:r>
        <w:rPr>
          <w:sz w:val="28"/>
          <w:szCs w:val="28"/>
          <w:lang w:val="en-US"/>
        </w:rPr>
        <w:t xml:space="preserve"> </w:t>
      </w:r>
      <w:proofErr w:type="spellStart"/>
      <w:r>
        <w:rPr>
          <w:sz w:val="28"/>
          <w:szCs w:val="28"/>
          <w:lang w:val="en-US"/>
        </w:rPr>
        <w:t>beynəlxalq</w:t>
      </w:r>
      <w:proofErr w:type="spellEnd"/>
      <w:r>
        <w:rPr>
          <w:sz w:val="28"/>
          <w:szCs w:val="28"/>
          <w:lang w:val="en-US"/>
        </w:rPr>
        <w:t xml:space="preserve"> </w:t>
      </w:r>
      <w:proofErr w:type="spellStart"/>
      <w:r>
        <w:rPr>
          <w:sz w:val="28"/>
          <w:szCs w:val="28"/>
          <w:lang w:val="en-US"/>
        </w:rPr>
        <w:t>ticarətdə</w:t>
      </w:r>
      <w:proofErr w:type="spellEnd"/>
      <w:r>
        <w:rPr>
          <w:sz w:val="28"/>
          <w:szCs w:val="28"/>
          <w:lang w:val="en-US"/>
        </w:rPr>
        <w:t xml:space="preserve"> </w:t>
      </w:r>
      <w:proofErr w:type="spellStart"/>
      <w:r>
        <w:rPr>
          <w:sz w:val="28"/>
          <w:szCs w:val="28"/>
          <w:lang w:val="en-US"/>
        </w:rPr>
        <w:t>rəqabət</w:t>
      </w:r>
      <w:proofErr w:type="spellEnd"/>
      <w:r>
        <w:rPr>
          <w:sz w:val="28"/>
          <w:szCs w:val="28"/>
          <w:lang w:val="en-US"/>
        </w:rPr>
        <w:t xml:space="preserve"> </w:t>
      </w:r>
      <w:proofErr w:type="spellStart"/>
      <w:r>
        <w:rPr>
          <w:sz w:val="28"/>
          <w:szCs w:val="28"/>
          <w:lang w:val="en-US"/>
        </w:rPr>
        <w:t>qabiliyyətinin</w:t>
      </w:r>
      <w:proofErr w:type="spellEnd"/>
      <w:r>
        <w:rPr>
          <w:sz w:val="28"/>
          <w:szCs w:val="28"/>
          <w:lang w:val="en-US"/>
        </w:rPr>
        <w:t xml:space="preserve"> </w:t>
      </w:r>
      <w:proofErr w:type="spellStart"/>
      <w:r>
        <w:rPr>
          <w:sz w:val="28"/>
          <w:szCs w:val="28"/>
          <w:lang w:val="en-US"/>
        </w:rPr>
        <w:t>gücləndirilməsi</w:t>
      </w:r>
      <w:proofErr w:type="spellEnd"/>
      <w:r>
        <w:rPr>
          <w:sz w:val="28"/>
          <w:szCs w:val="28"/>
          <w:lang w:val="en-US"/>
        </w:rPr>
        <w:t xml:space="preserve"> </w:t>
      </w:r>
      <w:proofErr w:type="spellStart"/>
      <w:r>
        <w:rPr>
          <w:sz w:val="28"/>
          <w:szCs w:val="28"/>
          <w:lang w:val="en-US"/>
        </w:rPr>
        <w:t>üçün</w:t>
      </w:r>
      <w:proofErr w:type="spellEnd"/>
      <w:r>
        <w:rPr>
          <w:sz w:val="28"/>
          <w:szCs w:val="28"/>
          <w:lang w:val="en-US"/>
        </w:rPr>
        <w:t xml:space="preserve"> </w:t>
      </w:r>
      <w:proofErr w:type="spellStart"/>
      <w:r>
        <w:rPr>
          <w:sz w:val="28"/>
          <w:szCs w:val="28"/>
          <w:lang w:val="en-US"/>
        </w:rPr>
        <w:t>praktik</w:t>
      </w:r>
      <w:proofErr w:type="spellEnd"/>
      <w:r>
        <w:rPr>
          <w:sz w:val="28"/>
          <w:szCs w:val="28"/>
          <w:lang w:val="en-US"/>
        </w:rPr>
        <w:t xml:space="preserve"> </w:t>
      </w:r>
      <w:proofErr w:type="spellStart"/>
      <w:r>
        <w:rPr>
          <w:sz w:val="28"/>
          <w:szCs w:val="28"/>
          <w:lang w:val="en-US"/>
        </w:rPr>
        <w:t>tövsiyələr</w:t>
      </w:r>
      <w:proofErr w:type="spellEnd"/>
      <w:r>
        <w:rPr>
          <w:sz w:val="28"/>
          <w:szCs w:val="28"/>
          <w:lang w:val="en-US"/>
        </w:rPr>
        <w:t xml:space="preserve"> </w:t>
      </w:r>
      <w:proofErr w:type="spellStart"/>
      <w:r>
        <w:rPr>
          <w:sz w:val="28"/>
          <w:szCs w:val="28"/>
          <w:lang w:val="en-US"/>
        </w:rPr>
        <w:t>təqdim</w:t>
      </w:r>
      <w:proofErr w:type="spellEnd"/>
      <w:r>
        <w:rPr>
          <w:sz w:val="28"/>
          <w:szCs w:val="28"/>
          <w:lang w:val="en-US"/>
        </w:rPr>
        <w:t xml:space="preserve"> </w:t>
      </w:r>
      <w:proofErr w:type="spellStart"/>
      <w:r>
        <w:rPr>
          <w:sz w:val="28"/>
          <w:szCs w:val="28"/>
          <w:lang w:val="en-US"/>
        </w:rPr>
        <w:t>edir</w:t>
      </w:r>
      <w:proofErr w:type="spellEnd"/>
      <w:r>
        <w:rPr>
          <w:sz w:val="28"/>
          <w:szCs w:val="28"/>
          <w:lang w:val="en-US"/>
        </w:rPr>
        <w:t xml:space="preserve">. </w:t>
      </w:r>
      <w:proofErr w:type="spellStart"/>
      <w:r>
        <w:rPr>
          <w:sz w:val="28"/>
          <w:szCs w:val="28"/>
          <w:lang w:val="en-US"/>
        </w:rPr>
        <w:t>Materiallar</w:t>
      </w:r>
      <w:proofErr w:type="spellEnd"/>
      <w:r>
        <w:rPr>
          <w:sz w:val="28"/>
          <w:szCs w:val="28"/>
          <w:lang w:val="en-US"/>
        </w:rPr>
        <w:t xml:space="preserve"> </w:t>
      </w:r>
      <w:proofErr w:type="spellStart"/>
      <w:r>
        <w:rPr>
          <w:sz w:val="28"/>
          <w:szCs w:val="28"/>
          <w:lang w:val="en-US"/>
        </w:rPr>
        <w:t>sənaye</w:t>
      </w:r>
      <w:proofErr w:type="spellEnd"/>
      <w:r>
        <w:rPr>
          <w:sz w:val="28"/>
          <w:szCs w:val="28"/>
          <w:lang w:val="en-US"/>
        </w:rPr>
        <w:t xml:space="preserve"> </w:t>
      </w:r>
      <w:proofErr w:type="spellStart"/>
      <w:r>
        <w:rPr>
          <w:sz w:val="28"/>
          <w:szCs w:val="28"/>
          <w:lang w:val="en-US"/>
        </w:rPr>
        <w:t>və</w:t>
      </w:r>
      <w:proofErr w:type="spellEnd"/>
      <w:r>
        <w:rPr>
          <w:sz w:val="28"/>
          <w:szCs w:val="28"/>
          <w:lang w:val="en-US"/>
        </w:rPr>
        <w:t xml:space="preserve"> </w:t>
      </w:r>
      <w:proofErr w:type="spellStart"/>
      <w:r>
        <w:rPr>
          <w:sz w:val="28"/>
          <w:szCs w:val="28"/>
          <w:lang w:val="en-US"/>
        </w:rPr>
        <w:t>ticarət</w:t>
      </w:r>
      <w:proofErr w:type="spellEnd"/>
      <w:r>
        <w:rPr>
          <w:sz w:val="28"/>
          <w:szCs w:val="28"/>
          <w:lang w:val="en-US"/>
        </w:rPr>
        <w:t xml:space="preserve"> </w:t>
      </w:r>
      <w:proofErr w:type="spellStart"/>
      <w:r>
        <w:rPr>
          <w:sz w:val="28"/>
          <w:szCs w:val="28"/>
          <w:lang w:val="en-US"/>
        </w:rPr>
        <w:t>qurumları</w:t>
      </w:r>
      <w:proofErr w:type="spellEnd"/>
      <w:r>
        <w:rPr>
          <w:sz w:val="28"/>
          <w:szCs w:val="28"/>
          <w:lang w:val="en-US"/>
        </w:rPr>
        <w:t xml:space="preserve">, </w:t>
      </w:r>
      <w:proofErr w:type="spellStart"/>
      <w:r>
        <w:rPr>
          <w:sz w:val="28"/>
          <w:szCs w:val="28"/>
          <w:lang w:val="en-US"/>
        </w:rPr>
        <w:t>gömrük</w:t>
      </w:r>
      <w:proofErr w:type="spellEnd"/>
      <w:r>
        <w:rPr>
          <w:sz w:val="28"/>
          <w:szCs w:val="28"/>
          <w:lang w:val="en-US"/>
        </w:rPr>
        <w:t xml:space="preserve"> </w:t>
      </w:r>
      <w:proofErr w:type="spellStart"/>
      <w:r>
        <w:rPr>
          <w:sz w:val="28"/>
          <w:szCs w:val="28"/>
          <w:lang w:val="en-US"/>
        </w:rPr>
        <w:t>orqanları</w:t>
      </w:r>
      <w:proofErr w:type="spellEnd"/>
      <w:r>
        <w:rPr>
          <w:sz w:val="28"/>
          <w:szCs w:val="28"/>
          <w:lang w:val="en-US"/>
        </w:rPr>
        <w:t xml:space="preserve">, </w:t>
      </w:r>
      <w:proofErr w:type="spellStart"/>
      <w:r>
        <w:rPr>
          <w:sz w:val="28"/>
          <w:szCs w:val="28"/>
          <w:lang w:val="en-US"/>
        </w:rPr>
        <w:t>iqtisadi</w:t>
      </w:r>
      <w:proofErr w:type="spellEnd"/>
      <w:r>
        <w:rPr>
          <w:sz w:val="28"/>
          <w:szCs w:val="28"/>
          <w:lang w:val="en-US"/>
        </w:rPr>
        <w:t xml:space="preserve"> </w:t>
      </w:r>
      <w:proofErr w:type="spellStart"/>
      <w:r>
        <w:rPr>
          <w:sz w:val="28"/>
          <w:szCs w:val="28"/>
          <w:lang w:val="en-US"/>
        </w:rPr>
        <w:t>siyasət</w:t>
      </w:r>
      <w:proofErr w:type="spellEnd"/>
      <w:r>
        <w:rPr>
          <w:sz w:val="28"/>
          <w:szCs w:val="28"/>
          <w:lang w:val="en-US"/>
        </w:rPr>
        <w:t xml:space="preserve"> </w:t>
      </w:r>
      <w:proofErr w:type="spellStart"/>
      <w:r>
        <w:rPr>
          <w:sz w:val="28"/>
          <w:szCs w:val="28"/>
          <w:lang w:val="en-US"/>
        </w:rPr>
        <w:t>formalaşdırıcıları</w:t>
      </w:r>
      <w:proofErr w:type="spellEnd"/>
      <w:r>
        <w:rPr>
          <w:sz w:val="28"/>
          <w:szCs w:val="28"/>
          <w:lang w:val="en-US"/>
        </w:rPr>
        <w:t xml:space="preserve"> </w:t>
      </w:r>
      <w:proofErr w:type="spellStart"/>
      <w:r>
        <w:rPr>
          <w:sz w:val="28"/>
          <w:szCs w:val="28"/>
          <w:lang w:val="en-US"/>
        </w:rPr>
        <w:t>və</w:t>
      </w:r>
      <w:proofErr w:type="spellEnd"/>
      <w:r>
        <w:rPr>
          <w:sz w:val="28"/>
          <w:szCs w:val="28"/>
          <w:lang w:val="en-US"/>
        </w:rPr>
        <w:t xml:space="preserve"> </w:t>
      </w:r>
      <w:proofErr w:type="spellStart"/>
      <w:r>
        <w:rPr>
          <w:sz w:val="28"/>
          <w:szCs w:val="28"/>
          <w:lang w:val="en-US"/>
        </w:rPr>
        <w:t>beynəlxalq</w:t>
      </w:r>
      <w:proofErr w:type="spellEnd"/>
      <w:r>
        <w:rPr>
          <w:sz w:val="28"/>
          <w:szCs w:val="28"/>
          <w:lang w:val="en-US"/>
        </w:rPr>
        <w:t xml:space="preserve"> </w:t>
      </w:r>
      <w:proofErr w:type="spellStart"/>
      <w:r>
        <w:rPr>
          <w:sz w:val="28"/>
          <w:szCs w:val="28"/>
          <w:lang w:val="en-US"/>
        </w:rPr>
        <w:t>ticarət</w:t>
      </w:r>
      <w:proofErr w:type="spellEnd"/>
      <w:r>
        <w:rPr>
          <w:sz w:val="28"/>
          <w:szCs w:val="28"/>
          <w:lang w:val="en-US"/>
        </w:rPr>
        <w:t xml:space="preserve"> </w:t>
      </w:r>
      <w:proofErr w:type="spellStart"/>
      <w:r>
        <w:rPr>
          <w:sz w:val="28"/>
          <w:szCs w:val="28"/>
          <w:lang w:val="en-US"/>
        </w:rPr>
        <w:t>üzrə</w:t>
      </w:r>
      <w:proofErr w:type="spellEnd"/>
      <w:r>
        <w:rPr>
          <w:sz w:val="28"/>
          <w:szCs w:val="28"/>
          <w:lang w:val="en-US"/>
        </w:rPr>
        <w:t xml:space="preserve"> </w:t>
      </w:r>
      <w:proofErr w:type="spellStart"/>
      <w:r>
        <w:rPr>
          <w:sz w:val="28"/>
          <w:szCs w:val="28"/>
          <w:lang w:val="en-US"/>
        </w:rPr>
        <w:t>ekspertlər</w:t>
      </w:r>
      <w:proofErr w:type="spellEnd"/>
      <w:r>
        <w:rPr>
          <w:sz w:val="28"/>
          <w:szCs w:val="28"/>
          <w:lang w:val="en-US"/>
        </w:rPr>
        <w:t xml:space="preserve"> </w:t>
      </w:r>
      <w:proofErr w:type="spellStart"/>
      <w:r>
        <w:rPr>
          <w:sz w:val="28"/>
          <w:szCs w:val="28"/>
          <w:lang w:val="en-US"/>
        </w:rPr>
        <w:t>tərəfindən</w:t>
      </w:r>
      <w:proofErr w:type="spellEnd"/>
      <w:r>
        <w:rPr>
          <w:sz w:val="28"/>
          <w:szCs w:val="28"/>
          <w:lang w:val="en-US"/>
        </w:rPr>
        <w:t xml:space="preserve"> </w:t>
      </w:r>
      <w:proofErr w:type="spellStart"/>
      <w:r>
        <w:rPr>
          <w:sz w:val="28"/>
          <w:szCs w:val="28"/>
          <w:lang w:val="en-US"/>
        </w:rPr>
        <w:t>tətbiq</w:t>
      </w:r>
      <w:proofErr w:type="spellEnd"/>
      <w:r>
        <w:rPr>
          <w:sz w:val="28"/>
          <w:szCs w:val="28"/>
          <w:lang w:val="en-US"/>
        </w:rPr>
        <w:t xml:space="preserve"> </w:t>
      </w:r>
      <w:proofErr w:type="spellStart"/>
      <w:r>
        <w:rPr>
          <w:sz w:val="28"/>
          <w:szCs w:val="28"/>
          <w:lang w:val="en-US"/>
        </w:rPr>
        <w:t>oluna</w:t>
      </w:r>
      <w:proofErr w:type="spellEnd"/>
      <w:r>
        <w:rPr>
          <w:sz w:val="28"/>
          <w:szCs w:val="28"/>
          <w:lang w:val="en-US"/>
        </w:rPr>
        <w:t xml:space="preserve"> </w:t>
      </w:r>
      <w:proofErr w:type="spellStart"/>
      <w:r>
        <w:rPr>
          <w:sz w:val="28"/>
          <w:szCs w:val="28"/>
          <w:lang w:val="en-US"/>
        </w:rPr>
        <w:t>bilər</w:t>
      </w:r>
      <w:proofErr w:type="spellEnd"/>
      <w:r>
        <w:rPr>
          <w:sz w:val="28"/>
          <w:szCs w:val="28"/>
          <w:lang w:val="en-US"/>
        </w:rPr>
        <w:t>.</w:t>
      </w:r>
    </w:p>
    <w:p w14:paraId="152322B1" w14:textId="77777777" w:rsidR="001F6AF2" w:rsidRDefault="001F6AF2">
      <w:pPr>
        <w:spacing w:after="0" w:line="360" w:lineRule="auto"/>
        <w:ind w:firstLine="709"/>
        <w:jc w:val="both"/>
        <w:rPr>
          <w:rFonts w:ascii="Times New Roman" w:hAnsi="Times New Roman" w:cs="Times New Roman"/>
          <w:bCs/>
          <w:sz w:val="28"/>
          <w:szCs w:val="28"/>
          <w:lang w:val="az-Latn-AZ"/>
        </w:rPr>
      </w:pPr>
    </w:p>
    <w:p w14:paraId="7FF6A156" w14:textId="77777777" w:rsidR="001F6AF2" w:rsidRDefault="001F6AF2">
      <w:pPr>
        <w:spacing w:line="240" w:lineRule="auto"/>
        <w:rPr>
          <w:rFonts w:ascii="Times New Roman" w:hAnsi="Times New Roman" w:cs="Times New Roman"/>
          <w:b/>
          <w:bCs/>
          <w:sz w:val="28"/>
          <w:szCs w:val="28"/>
        </w:rPr>
      </w:pPr>
    </w:p>
    <w:p w14:paraId="3398538F" w14:textId="77777777" w:rsidR="001F6AF2" w:rsidRDefault="001F6AF2">
      <w:pPr>
        <w:spacing w:line="240" w:lineRule="auto"/>
        <w:rPr>
          <w:rFonts w:ascii="Times New Roman" w:hAnsi="Times New Roman" w:cs="Times New Roman"/>
          <w:b/>
          <w:bCs/>
          <w:sz w:val="28"/>
          <w:szCs w:val="28"/>
        </w:rPr>
      </w:pPr>
    </w:p>
    <w:p w14:paraId="75CA5D67" w14:textId="77777777" w:rsidR="001F6AF2" w:rsidRDefault="001F6AF2">
      <w:pPr>
        <w:spacing w:line="240" w:lineRule="auto"/>
        <w:rPr>
          <w:rFonts w:ascii="Times New Roman" w:hAnsi="Times New Roman" w:cs="Times New Roman"/>
          <w:b/>
          <w:bCs/>
          <w:sz w:val="28"/>
          <w:szCs w:val="28"/>
        </w:rPr>
      </w:pPr>
    </w:p>
    <w:p w14:paraId="6F6E2B0E" w14:textId="77777777" w:rsidR="001F6AF2" w:rsidRDefault="001F6AF2">
      <w:pPr>
        <w:spacing w:line="240" w:lineRule="auto"/>
        <w:rPr>
          <w:rFonts w:ascii="Times New Roman" w:hAnsi="Times New Roman" w:cs="Times New Roman"/>
          <w:b/>
          <w:bCs/>
          <w:sz w:val="28"/>
          <w:szCs w:val="28"/>
        </w:rPr>
      </w:pPr>
    </w:p>
    <w:p w14:paraId="7076B4FD" w14:textId="77777777" w:rsidR="001F6AF2" w:rsidRDefault="001F6AF2">
      <w:pPr>
        <w:spacing w:line="240" w:lineRule="auto"/>
        <w:rPr>
          <w:rFonts w:ascii="Times New Roman" w:hAnsi="Times New Roman" w:cs="Times New Roman"/>
          <w:b/>
          <w:bCs/>
          <w:sz w:val="28"/>
          <w:szCs w:val="28"/>
        </w:rPr>
      </w:pPr>
    </w:p>
    <w:p w14:paraId="150A4653" w14:textId="77777777" w:rsidR="001F6AF2" w:rsidRDefault="001F6AF2">
      <w:pPr>
        <w:spacing w:line="240" w:lineRule="auto"/>
        <w:rPr>
          <w:rFonts w:ascii="Times New Roman" w:hAnsi="Times New Roman" w:cs="Times New Roman"/>
          <w:b/>
          <w:bCs/>
          <w:sz w:val="28"/>
          <w:szCs w:val="28"/>
        </w:rPr>
      </w:pPr>
    </w:p>
    <w:p w14:paraId="46388DBB" w14:textId="77777777" w:rsidR="001F6AF2" w:rsidRDefault="001F6AF2">
      <w:pPr>
        <w:spacing w:line="240" w:lineRule="auto"/>
        <w:rPr>
          <w:rFonts w:ascii="Times New Roman" w:hAnsi="Times New Roman" w:cs="Times New Roman"/>
          <w:b/>
          <w:bCs/>
          <w:sz w:val="28"/>
          <w:szCs w:val="28"/>
        </w:rPr>
      </w:pPr>
    </w:p>
    <w:p w14:paraId="02A225E4" w14:textId="77777777" w:rsidR="001F6AF2" w:rsidRDefault="001F6AF2">
      <w:pPr>
        <w:spacing w:line="360" w:lineRule="auto"/>
        <w:rPr>
          <w:rFonts w:ascii="Times New Roman" w:hAnsi="Times New Roman" w:cs="Times New Roman"/>
          <w:b/>
          <w:bCs/>
          <w:sz w:val="28"/>
          <w:szCs w:val="28"/>
        </w:rPr>
      </w:pPr>
    </w:p>
    <w:p w14:paraId="21943EF9" w14:textId="77777777" w:rsidR="001F6AF2" w:rsidRDefault="001F6AF2">
      <w:pPr>
        <w:spacing w:after="0" w:line="360" w:lineRule="auto"/>
        <w:ind w:firstLine="709"/>
        <w:jc w:val="both"/>
        <w:rPr>
          <w:rFonts w:ascii="Times New Roman" w:hAnsi="Times New Roman" w:cs="Times New Roman"/>
          <w:b/>
          <w:bCs/>
          <w:sz w:val="28"/>
          <w:szCs w:val="28"/>
        </w:rPr>
      </w:pPr>
    </w:p>
    <w:p w14:paraId="4F409134" w14:textId="77777777" w:rsidR="001F6AF2" w:rsidRDefault="001F6AF2">
      <w:pPr>
        <w:spacing w:after="0" w:line="360" w:lineRule="auto"/>
        <w:ind w:firstLine="709"/>
        <w:jc w:val="both"/>
        <w:rPr>
          <w:rFonts w:ascii="Times New Roman" w:hAnsi="Times New Roman" w:cs="Times New Roman"/>
          <w:b/>
          <w:bCs/>
          <w:sz w:val="28"/>
          <w:szCs w:val="28"/>
        </w:rPr>
      </w:pPr>
    </w:p>
    <w:p w14:paraId="7B0F51F3" w14:textId="77777777" w:rsidR="001F6AF2" w:rsidRDefault="001F6AF2">
      <w:pPr>
        <w:jc w:val="both"/>
        <w:rPr>
          <w:rFonts w:ascii="Times New Roman" w:hAnsi="Times New Roman" w:cs="Times New Roman"/>
        </w:rPr>
        <w:sectPr w:rsidR="001F6AF2">
          <w:pgSz w:w="11906" w:h="16838"/>
          <w:pgMar w:top="1134" w:right="851" w:bottom="1134" w:left="1701" w:header="709" w:footer="709" w:gutter="0"/>
          <w:cols w:space="708"/>
          <w:docGrid w:linePitch="360"/>
        </w:sectPr>
      </w:pPr>
    </w:p>
    <w:p w14:paraId="15C7E438"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bookmarkStart w:id="0" w:name="_Toc113615919"/>
      <w:r>
        <w:rPr>
          <w:rFonts w:ascii="Times New Roman" w:hAnsi="Times New Roman" w:cs="Times New Roman"/>
          <w:b/>
          <w:bCs/>
          <w:color w:val="auto"/>
          <w:sz w:val="28"/>
          <w:szCs w:val="28"/>
        </w:rPr>
        <w:t xml:space="preserve">I FƏSİL. </w:t>
      </w:r>
      <w:bookmarkEnd w:id="0"/>
      <w:r>
        <w:rPr>
          <w:rFonts w:ascii="Times New Roman" w:hAnsi="Times New Roman" w:cs="Times New Roman"/>
          <w:b/>
          <w:bCs/>
          <w:color w:val="auto"/>
          <w:sz w:val="28"/>
          <w:szCs w:val="28"/>
        </w:rPr>
        <w:t>SƏRHƏDDƏ TİCARƏTİN İQTİSADİ MAHİYYƏTİ VƏ SƏMƏRƏLİLİK GÖSTƏRİCİLƏRİNİN NƏZƏRİ ƏSASLARI</w:t>
      </w:r>
    </w:p>
    <w:p w14:paraId="308B0572"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bookmarkStart w:id="1" w:name="_Toc113615920"/>
      <w:r>
        <w:rPr>
          <w:rFonts w:ascii="Times New Roman" w:hAnsi="Times New Roman" w:cs="Times New Roman"/>
          <w:b/>
          <w:bCs/>
          <w:color w:val="auto"/>
          <w:sz w:val="28"/>
          <w:szCs w:val="28"/>
          <w:lang w:val="az-Latn-AZ"/>
        </w:rPr>
        <w:t xml:space="preserve">1.1. </w:t>
      </w:r>
      <w:bookmarkEnd w:id="1"/>
      <w:r>
        <w:rPr>
          <w:rFonts w:ascii="Times New Roman" w:hAnsi="Times New Roman" w:cs="Times New Roman"/>
          <w:b/>
          <w:bCs/>
          <w:color w:val="auto"/>
          <w:sz w:val="28"/>
          <w:szCs w:val="28"/>
          <w:lang w:val="az-Latn-AZ"/>
        </w:rPr>
        <w:t xml:space="preserve">Sərhəddə ticarət </w:t>
      </w:r>
      <w:proofErr w:type="spellStart"/>
      <w:r>
        <w:rPr>
          <w:rFonts w:ascii="Times New Roman" w:hAnsi="Times New Roman" w:cs="Times New Roman"/>
          <w:b/>
          <w:bCs/>
          <w:color w:val="auto"/>
          <w:sz w:val="28"/>
          <w:szCs w:val="28"/>
          <w:lang w:val="az-Latn-AZ"/>
        </w:rPr>
        <w:t>səmərəliliyinin</w:t>
      </w:r>
      <w:proofErr w:type="spellEnd"/>
      <w:r>
        <w:rPr>
          <w:rFonts w:ascii="Times New Roman" w:hAnsi="Times New Roman" w:cs="Times New Roman"/>
          <w:b/>
          <w:bCs/>
          <w:color w:val="auto"/>
          <w:sz w:val="28"/>
          <w:szCs w:val="28"/>
          <w:lang w:val="az-Latn-AZ"/>
        </w:rPr>
        <w:t xml:space="preserve"> </w:t>
      </w:r>
      <w:proofErr w:type="spellStart"/>
      <w:r>
        <w:rPr>
          <w:rFonts w:ascii="Times New Roman" w:hAnsi="Times New Roman" w:cs="Times New Roman"/>
          <w:b/>
          <w:bCs/>
          <w:color w:val="auto"/>
          <w:sz w:val="28"/>
          <w:szCs w:val="28"/>
          <w:lang w:val="az-Latn-AZ"/>
        </w:rPr>
        <w:t>yüksəldilməsinin</w:t>
      </w:r>
      <w:proofErr w:type="spellEnd"/>
      <w:r>
        <w:rPr>
          <w:rFonts w:ascii="Times New Roman" w:hAnsi="Times New Roman" w:cs="Times New Roman"/>
          <w:b/>
          <w:bCs/>
          <w:color w:val="auto"/>
          <w:sz w:val="28"/>
          <w:szCs w:val="28"/>
          <w:lang w:val="az-Latn-AZ"/>
        </w:rPr>
        <w:t xml:space="preserve"> nəzəri-metodoloji əsasları və konseptual yanaşmalar</w:t>
      </w:r>
    </w:p>
    <w:p w14:paraId="605CBCBB" w14:textId="77777777" w:rsidR="001F6AF2" w:rsidRDefault="00000000">
      <w:pPr>
        <w:spacing w:after="0" w:line="360" w:lineRule="auto"/>
        <w:ind w:firstLine="709"/>
        <w:jc w:val="both"/>
        <w:rPr>
          <w:rFonts w:ascii="Times New Roman" w:hAnsi="Times New Roman" w:cs="Times New Roman"/>
          <w:sz w:val="28"/>
          <w:szCs w:val="28"/>
          <w:lang w:val="tr-TR"/>
        </w:rPr>
      </w:pPr>
      <w:bookmarkStart w:id="2" w:name="_Hlk168410470"/>
      <w:r>
        <w:rPr>
          <w:rFonts w:ascii="Times New Roman" w:hAnsi="Times New Roman" w:cs="Times New Roman"/>
          <w:sz w:val="28"/>
          <w:szCs w:val="28"/>
          <w:lang w:val="tr-TR"/>
        </w:rPr>
        <w:t>Sərhəddə ticarət dövlətlərin coğrafi sərhəd zonalarında fəaliyyət göstərən yaşayış məntəqələri və təsərrüfat subyektləri arasında təşkil olunan mal və xidmət mübadiləsinin xüsusi xarici ticarət forması kimi xarakterizə edilir. Bu ticarət mexanizmi yalnız ərazi yaxınlığının yaratdığı iqtisadi üstünlüklərə söykənmir. Eyni zamanda regional inteqrasiya proseslərinin inkişafı, bazarlararası qarşılıqlı asılılıq və transmilli istehsal əlaqələrinin genişlənməsi üzrə mühüm funksional rol oynayır. Sərhəddə ticarətin nəzəri əsasları bazar seqmentlərinin coğrafi yaxınlıq amili üzrə diferensiasiyasına və sərhəd regionlarının iqtisadi fəallığına təsir göstərən struktur elementlərin dərin təhlilinə əsaslanır [11, p.5]. Bu kontekstdə sərhəddə ticarətin xarici ticarət sistemində yeri yalnız mikroiqtisadi səviyyədə ticarət intensivliyinin artımı ilə məhdudlaşmır. O həmçinin beynəlxalq ticarət axınlarının təşkilati koordinasiyasına və sərhəd keçid infrastrukturunun institusional modernləşdirilməsinə təsir edən fundamental mexanizm kimi çıxış edir.</w:t>
      </w:r>
    </w:p>
    <w:p w14:paraId="60C1355D"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ticarətin xarici ticarət dövriyyəsinin genişləndirilməsində oynadığı funksional rol ticarət axınlarının struktur dinamikasına təsir gücü ilə izah edilir. Qonşu dövlətlər arasında coğrafi yaxınlıqdan qaynaqlanan ticarət xərclərinin aşağı olması və logistika proseslərinin operativliyi məhsul dövriyyəsini sürətləndirir. Bu isə həm idxal, həm də ixrac əməliyyatlarının həcmini artırır və xarici ticarət balansının yaxşılaşdırılmasına şərait yaradır. Sərhəd zonalarında fəaliyyət göstərən kiçik və orta sahibkarlıq subyektləri regional bazarlara çıxış imkanları əldə edir. Bu da onların istehsal diversifikasiyasına və xarici bazarlara adaptasiya potensialına müsbət təsir göstərir. Bazar strukturunun genişlənməsi regional inteqrasiyanı gücləndirir və iqtisadi məkanın vahid ticarət platformasına çevrilməsi üçün zəruri institusional mühiti formalaşdırır. Sərhəddə ticarət iqtisadi subyektlərin bazarlara çıxış baryerlərini zəiflədir və ticarət xərclərinin azalması nəticəsində qiymət rəqabətini intensivləşdirir.</w:t>
      </w:r>
    </w:p>
    <w:p w14:paraId="6F290C0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Sərhədyanı zonaların iqtisadi inkişafının stimullaşdırılması sərhəddə ticarətin xarici ticarət sistemində xüsusi yer tutduğunu göstərən əsas göstəricilərdən biridir. Sərhəd rayonları əksər hallarda iqtisadi aktivlik səviyyəsi digər regionlardan geri qalan ərazilər kimi qiymətləndirilir. Bu səbəbdən sərhəddə ticarətin genişləndirilməsi həmin ərazilərdə investisiya qoyuluşunun artmasına və yeni istehsal sahələrinin yaranmasına şərait yaradır. Ticarət həcminin artması infrastrukturun modernləşdirilməsini tələb edir. Bu isə öz növbəsində yol şəbəkələrinin yenilənməsi, logistika infrastrukturunun qurulması, xidmət obyektlərinin inkişafı və yeni iş yerlərinin yaranması ilə nəticələnir. Əhalinin iqtisadi fəallığının artması regionun sosial rifah səviyyəsinə birbaşa təsir edir. Bu proses sərhəd rayonlarının iqtisadi mərkəz kimi formalaşmasına və regional inkişaf strategiyalarında prioritet istiqamətə çevrilməsinə şərait yaradır.</w:t>
      </w:r>
    </w:p>
    <w:p w14:paraId="14C00B5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ticarətin logistika və gömrük infrastrukturunun inkişafında oynadığı rol xarici ticarət sisteminin institusional səmərəliliyi baxımından xüsusi əhəmiyyət daşıyır. Ticarət axınlarının coğrafi sərhədlərdən keçməsi operativ və çevik nəzarət mexanizmlərinin tətbiqini zəruri edir. Bu məqsədlə sərhəd keçid məntəqələrinin modernləşdirilməsi və rəqəmsal texnologiyaların tətbiqi ticarət proseslərinin sürətini artırır və gömrük xidmətlərinin funksional imkanlarını genişləndirir. Elektron gömrük sistemlərinin tətbiqi, risklərin idarə edilməsi alqoritmlərinin təkmilləşdirilməsi və nəqliyyat axınlarının koordinasiyası xarici ticarət proseslərinin şəffaflığını artırır [23, p.11]. Sərhəddə ticarət yalnız fiziki infrastrukturun modernləşdirilməsi deyil. Eyni zamanda tənzimləyici orqanların institusional potensialının gücləndirilməsi istiqamətində də transformasiyaya səbəb olur. Bu isə uzunmüddətli perspektivdə beynəlxalq ticarətin təhlükəsizliyinin və səmərəliliyinin yüksəlməsinə təkan verir.</w:t>
      </w:r>
    </w:p>
    <w:p w14:paraId="267FE080"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ticarətin qiymət sabitliyinin təmin olunmasına və təchizat təhlükəsizliyinin gücləndirilməsinə verdiyi töhfə xarici ticarət sistemində onun funksional əhəmiyyətini daha da artırır. Coğrafi yaxınlıq məhsulların tədarük müddətini qısaldır və təchizat zəncirinin operativliyini yüksəldir. Qonşu ölkələrdə qiymət fərqlərinin mövcudluğu sərhədyanı ticarət axınlarının intensivləşməsinə gətirib çıxarır və bu, istehlak bazarında qiymətlərin sabit qalmasını təmin edən mühüm iqtisadi mexanizm kimi çıxış edir. Sərhədyanı zonalarda fəaliyyət göstərən istehlakçılar daha rəqabətli qiymətlərlə məhsul əldə edir. Bu isə həm regiondaxili, həm də ümumi bazar üzrə qiymət sabitliyinə təsir göstərir. Eyni zamanda sərhəddə ticarət ixrac və idxal marşrutlarının çoxşaxəli olmasını təmin edir. Bu da təchizat risklərinin azaldılmasına və bazarın xarici təsirlərə davamlılığının gücləndirilməsinə şərait yaradır.</w:t>
      </w:r>
    </w:p>
    <w:p w14:paraId="12D4447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 xarici ticarət sisteminin strukturunda ticarət həcmlərinin genişlənməsi, regional iqtisadi inkişafın sürətlənməsi, logistika və gömrük infrastrukturunun modernləşməsi, qiymət sabitliyi və təchizat təhlükəsizliyinin təmin olunması kimi fundamental funksiyalar yerinə yetirir. Bu ticarət forması coğrafi yaxınlığın yaratdığı iqtisadi üstünlükləri institusional mexanizmlərlə tamamlayır və beynəlxalq ticarət sistemində davamlı iqtisadi əlaqələrin formalaşmasına töhfə verir. Sərhəddə ticarət ölkələrin xarici ticarət siyasətində strateji komponent kimi çıxış edir və regional iqtisadi inteqrasiyanın dayanıqlı əsaslardan inkişafını təmin edən mühüm iqtisadi kateqoriya kimi əhəmiyyət daşıyır.</w:t>
      </w:r>
    </w:p>
    <w:p w14:paraId="7452C13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 xarici ticarət sisteminin institusional strukturunda çoxşaxəli iqtisadi və sosial funksiyalar yerinə yetirən xüsusi ticarət forması kimi nəzərdən keçirilir. Bu ticarət modeli dövlətlərin sərhəd zonalarında yaşayan əhali qrupları və təsərrüfat subyektləri arasında formal çərçivədə həyata keçirilən mal və xidmət mübadiləsini əhatə edir. Coğrafi yaxınlığın yaratdığı iqtisadi üstünlüklərin təşkilati mexanizmlərlə birləşdirilməsi nəticəsində sərhəddə ticarət həm ticarət axınlarının səmərəliliyini yüksəldir, həm də iqtisadi təhlükəsizliyin təmin edilməsində mühüm rol oynayır [6, p.14]. Sərhəd zonalarında ticarət münasibətlərinin rəsmi qaydalar üzrə formalaşdırılması tənzimləyici institutların fəaliyyət imkanlarını genişləndirir və regional iqtisadi proseslərdə tarazlığı gücləndirir.</w:t>
      </w:r>
    </w:p>
    <w:p w14:paraId="25CB928F"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Qeyri rəsmi ticarətin məhdudlaşdırılması sərhəddə ticarətin iqtisadi sistemdəki əhəmiyyətini göstərən əsas funksional istiqamətlərdən biridir. Sərhəd boyunca rəsmiləşdirilməmiş ticarət fəaliyyəti vergi ödənişlərinin tam toplanmasına mane olur, qaçaqmalçılıq risklərini artırır və dövlət büdcəsinin gəlir bazasını zəiflədən ciddi problemlər yaradır. Ticarət fəaliyyətinin institusional normalar daxilində təşkil edilməsi malların və nəqliyyat vasitələrinin sərhəddən keçməsi zamanı tam şəffaf məlumat axınını təmin edir və gömrük nəzarətinin keyfiyyətini yüksəldir. Rəsmi qaydalar üzrə aparılan ticarət vergi inzibatçılığında dəqiqliyi artırır, qaçaqmalçılıq kanallarının bağlanmasına səbəb olur və fiskal gəlirlərin davamlı artımını təmin edən sabit mexanizm yaradır. Bu amillər iqtisadi təhlükəsizliyi gücləndirir və dövlət maliyyəsinin dayanıqlığına töhfə verir. İnstitusional şəffaflıqla müşayiət olunan ticarət axınları hüquqi mühitin sabitliyini möhkəmləndirir və tənzimləyici orqanların nəzarət imkanlarını daha yüksək səviyyəyə yüksəldir.</w:t>
      </w:r>
    </w:p>
    <w:p w14:paraId="0DC22C5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Sosial və mədəni inteqrasiyanın təşviqi sərhəddə ticarətin iqtisadi məzmundan kənara çıxaraq sosial proseslərə təsir edən mühüm funksiyasını formalaşdırır. Sərhəd regionlarının əhalisi coğrafi yaxınlıq nəticəsində sıx qarşılıqlı təmas qurur və ticarət bu münasibətlərin sistemli xarakter daşımasına şərait yaradır. Mədəni əlaqələrin genişlənməsi insan resurslarının hərəkətini asanlaşdıran sosial mühit yaradır və əmək bazarında qarşılıqlı uyğunluğu artırır [19, p.17]. Əhalinin sərhəd boyunca aktiv ünsiyyəti əməkdaşlıq ənənələrinin formalaşmasına gətirib çıxarır və sosial sabitliyə töhfə verən möhkəm əsas yaradır. Humanitar əlaqələrin inkişafı dövlətlərarası münasibətlərdə etimadı gücləndirir və iqtisadi dialoqun daha konstruktiv müstəviyə keçməsinə şərait yaradır. Sosial kapitalın artması regional sabitlik üçün əlavə dəyər yaradır və sərhəd bölgələrinin həm iqtisadi, həm də sosial dinamizmini artırır.</w:t>
      </w:r>
    </w:p>
    <w:p w14:paraId="6D2B44B7"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Xüsusi iqtisadi zonaların, sərhəd ticarət mərkəzlərinin və sərbəst ticarət koridorlarının formalaşdırılması sərhəddə ticarətin institusional inkişafını təmin edən strateji istiqamətlərdən biridir. Müxtəlif ölkələr sərhəd yaxınlığında xüsusi gömrük rejimli ticarət məkanları yaradır və həmin ərazilər xarici investisiya cəlbediciliyini artıran iqtisadi poliqona çevrilir. Bu məkanlarda tətbiq edilən vergi güzəştləri, logistika üstünlükləri və sadələşdirilmiş gömrük prosedurları xarici ticarətin rəqabət qabiliyyətini yüksəldir və istehsal müəssisələrinin ixrac yönümlü fəaliyyətini genişləndirir. Azad iqtisadi zonalar transmilli şirkətlərin sərhəd boyunca istehsal və emal mərkəzləri yaratmasına stimul verir və bu proses regionun istehsal strukturunun modernləşməsini sürətləndirir. İnnovativ texnologiyaların tətbiqi və investisiya axınlarının artması ilə yaranan yeni iqtisadi mühit ixrac kanallarının genişlənməsini təmin edir və ticarət dövriyyəsinin coğrafi şaxəliliyini artırır.</w:t>
      </w:r>
    </w:p>
    <w:p w14:paraId="2FF8152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 həmçinin logistika infrastrukturunun modernləşdirilməsi üçün mühüm funksional baza yaradır. Sərhəd keçid məntəqələrinin yenilənməsi, nəqliyyat şəbəkələrinin inteqrasiyası və gömrük prosedurlarının rəqəmsallaşdırılması ticarət əməliyyatlarının səmərəliliyini yüksəldir. Rəqəmsal gömrük sistemlərinin tətbiqi risklərin idarə olunmasını gücləndirir, sənəd dövriyyəsini sürətləndirir və ticarət axınlarının fasiləsizliyini təmin edir [31, p.20]. Bu infrastruktur modernləşməsi beynəlxalq ticarət sisteminin təhlükəsizliyini artırır və sərhəddə ticarətin sürətli inkişafını təmin edən institusional baza yaradır.</w:t>
      </w:r>
    </w:p>
    <w:p w14:paraId="5B4FFF3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ticarətin çoxşaxəli təsir mexanizmləri göstərir ki, bu ticarət forması yalnız xarici ticarət dövriyyəsinin genişlənməsinə deyil. Eyni zamanda dövlət nəzarətinin gücləndirilməsinə, sosial inteqrasiyanın dərinləşməsinə və iqtisadi zonaların investisiya potensialının artırılmasına xidmət edir. Bu funksiyalar sərhəddə ticarəti regional iqtisadi inkişafın mühüm aparıcı amillərindən birinə çevirir və xarici ticarət sisteminin institusional dayanıqlığını gücləndirir.</w:t>
      </w:r>
    </w:p>
    <w:bookmarkEnd w:id="2"/>
    <w:p w14:paraId="26FF95FD"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lang w:val="az-Latn-AZ"/>
        </w:rPr>
        <w:t xml:space="preserve">1.2 Sərhəddə ticarətin </w:t>
      </w:r>
      <w:proofErr w:type="spellStart"/>
      <w:r>
        <w:rPr>
          <w:rFonts w:ascii="Times New Roman" w:hAnsi="Times New Roman" w:cs="Times New Roman"/>
          <w:b/>
          <w:bCs/>
          <w:color w:val="auto"/>
          <w:sz w:val="28"/>
          <w:szCs w:val="28"/>
          <w:lang w:val="az-Latn-AZ"/>
        </w:rPr>
        <w:t>səmərəliliyini</w:t>
      </w:r>
      <w:proofErr w:type="spellEnd"/>
      <w:r>
        <w:rPr>
          <w:rFonts w:ascii="Times New Roman" w:hAnsi="Times New Roman" w:cs="Times New Roman"/>
          <w:b/>
          <w:bCs/>
          <w:color w:val="auto"/>
          <w:sz w:val="28"/>
          <w:szCs w:val="28"/>
          <w:lang w:val="az-Latn-AZ"/>
        </w:rPr>
        <w:t xml:space="preserve"> müəyyən edən əsas iqtisadi göstəricilər</w:t>
      </w:r>
    </w:p>
    <w:p w14:paraId="3629C1AF"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ticarətin səmərəliliyinin qiymətləndirilməsi sərhəd regionlarında ticarət axınlarının intensivliyini, əməliyyatların rentabelliyini və gömrük nəzarətinin institusional funksionallığını ölçməyə imkan verən kompleks göstəricilər sistemi əsasında aparılır. Bu göstəricilər sərhəd zonalarında ticarət fəaliyyətinin iqtisadi məzmununu müəyyənləşdirir, sərhəd keçid məntəqələrinin buraxıcılıq gücünü və logistika infrastrukturunun işləmə qabiliyyətini əks etdirir və ümumilikdə xarici ticarət sistemində ticarət effektivliyinin analitik bazasını formalaşdırır. Səmərəliliyin ölçülməsi həm mikro səviyyədə əməliyyat performansının dəyərləndirilməsinə, həm də makro səviyyədə iqtisadi təsirin müəyyən edilməsinə xidmət edir.</w:t>
      </w:r>
    </w:p>
    <w:p w14:paraId="7AF827F1"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 ticarətinin genişliyini və real əməliyyat həcmini xarakterizə edən iqtisadi göstəricilər sırasında mal dövriyyəsinin ümumi dəyəri əsas analitik baza rolunu oynayır. Sərhəd keçid məntəqələrindən daxil olan və çıxan malların ümumi yük dəyəri ticarət axınlarının coğrafi və iqtisadi miqyasını göstərir və sərhəd regionlarında fəaliyyətin məcmu intensivliyini müəyyənləşdirir. Bu göstəricinin yüksək olması infrastrukturun səmərəli istifadə olunduğunu, logistika əməliyyatlarının fasiləsiz şəkildə aparıldığını və ticarət subyektlərinin sərhəd ticarətinə aktiv şəkildə cəlb olunduğunu nümayiş etdirir. Eyni zamanda sərhəd ticarətinin ölkənin ümumi idxal və ixrac strukturunda tutduğu pay strateji əhəmiyyətin ölçülməsində mühüm yer tutur [24, p.35]. Payın yüksək olması sərhəd bölgələrinin ticarət proseslərində əvəzedilməz iqtisadi funksiyasını təsdiqləyir və ticarət əlaqələrinin sərhəd zonalarında mərkəzləşmə səviyyəsini nümayiş etdirir.</w:t>
      </w:r>
    </w:p>
    <w:p w14:paraId="1D2152C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Ticarət dövriyyəsinin dinamikasını xarakterizə edən artım tempi də səmərəliliyin əsas indiqatorlarından biridir. İllik və rüblük dəyişikliklərin sistemli şəkildə izlənməsi sərhəddə ticarətin inkişaf trayektoriyasını müəyyənləşdirir və institusional və infrastruktur yeniliklərinin təsir gücünü qiymətləndirməyə imkan verir. Ticarət axınlarının artım sürəti regional iqtisadi fəallığın yüksəldiyini, ticarət subyektləri üçün bazar imkanlarının genişləndiyini və logistika şəbəkələrinin effektiv şəkildə fəaliyyət göstərdiyini göstərir.</w:t>
      </w:r>
    </w:p>
    <w:p w14:paraId="2272148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Ticarətin iqtisadi səmərəliliyini müəyyən edən əsas istiqamətlərdən biri də logistika və tranzit effektivliyinin ölçülməsidir. Sərhəddən keçid vaxtının uzunluğu ticarət xərclərinə, məhsulun dövriyyə sürətinə və tədarük zəncirinin çevikliyinə birbaşa təsir göstərdiyi üçün keçid müddəti səmərəliliyin əsas göstəricilərindən biri kimi qiymətləndirilir. Sürətli keçid müddəti gömrük prosedurlarının təkmilləşdirildiyini, rəqəmsal texnologiyaların tətbiq olunduğunu və logistika axınının koordinasiya olunduğunu göstərir. Keçid vaxtının optimallaşdırılması ticarət əməliyyatlarının xərclərini azaldır və sərhəd ticarətinin rəqabət qabiliyyətini yüksəldir.</w:t>
      </w:r>
    </w:p>
    <w:p w14:paraId="0D8A76A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Logistika xərclərinin həcmi də səmərəliliyin müəyyən edilməsində mühüm yer tutur. Sərhəddən keçid prosesində nəqliyyat, anbarlama, sənədləşmə və idarəetmə üzrə xərclərin az olması əməliyyatların rentabelliyini artırır və ticarət subyektlərinin fəaliyyətini genişləndirir. Logistika xərclərinin analizi ticarət prosesindəki səmərəlilik boşluqlarını müəyyən etməyə imkan verir və dövlət orqanları üçün optimallaşdırma tədbirlərinin planlaşdırılmasına əsas yaradır. Yükaşırma qabiliyyəti və tranzit sürəti də logistika effektivliyinin mühüm göstəricilərindəndir. Buraxıcılıq gücünün yüksək olması ticarət axınlarının fasiləsizliyi üçün mühüm şərtdir və logistika zəncirində gecikmələrin qarşısını alır.</w:t>
      </w:r>
    </w:p>
    <w:p w14:paraId="13F5D46F"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Gömrük nəzarət sisteminin effektivliyi sərhəddə ticarətin institusional səmərəliliyini müəyyən edən əsas meyar qruplarından birini təşkil edir. Bu çərçivədə gömrük rüsumları və vergi daxilolmaları dövlət büdcəsinə töhfənin ölçülməsi baxımından mühüm göstəricidir. Sərhəddə ticarət nəticəsində formalaşan fiskal gəlirlərin həcmi gömrük inzibatçılığının keyfiyyətini və rəsmi ticarət mexanizmlərinin effektivliyini nümayiş etdirir [17, p.30]. Rəqəmsal gömrük xidmətlərinin tətbiqi səviyyəsi də səmərəliliyin müəyyənləşdirilməsində əsas komponentlərdəndir. Elektron bəyannamə sistemlərinin geniş tətbiqi, risk idarəetmə alqoritmlərinin avtomatlaşdırılması və elektron nəzarət proseslərinin tətbiqi əməliyyatların şəffaflığını artırır və ticarətin sürətini yüksəldir.</w:t>
      </w:r>
    </w:p>
    <w:p w14:paraId="58E366E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Uyğunluq səviyyəsi də mühüm göstərici kimi xarakterizə edilir. Qaydaların tam yerinə yetirilməsi qaçaqmalçılıq risklərinin azalmasını təmin edir və rəsmi ticarətin payını artırır. Uyğunluq səviyyəsinin yüksək olması sərhəd ticarətinin institusional dayanıqlığını gücləndirir və ticarət mühitinin şəffaflığını möhkəmləndirir.</w:t>
      </w:r>
    </w:p>
    <w:p w14:paraId="26EFE88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 regionlarının sosial iqtisadi inkişaf göstəriciləri də ticarətin ümumi səmərəliliyini müəyyənləşdirən əsas meyarlardandır. Yeni iş yerlərinin yaranması regionun iqtisadi fəallığının artdığını və sərhəd ticarətinin sosial təsir gücünü nümayiş etdirir. Yerli sahibkarlığın genişlənməsi əhalinin gəlir səviyyəsinin yüksəldiyini və regionun iqtisadi dayanıqlığının gücləndiyini göstərir. İnfrastruktur investisiyalarının həcmi isə sərhəd keçid məntəqələrinin modernləşdirilməsi və logistika mərkəzlərinin yaradılması ilə bağlı fəaliyyətin genişliyini əks etdirir və ticarət sisteminin institusional gücünü artırır. Bütün göstəricilərin analitik dəyərləndirilməsi nəticəsində sərhəddə ticarətin iqtisadi səmərəliliyi barədə tam elmi təsəvvür formalaşır və sərhəd regionlarının iqtisadi inkişafında bu ticarət formasının strateji rolu aydın şəkildə müəyyən olunur.</w:t>
      </w:r>
    </w:p>
    <w:p w14:paraId="5CB7CAB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ticarətin səmərəliliyinin ölçülməsi geniş iqtisadi göstəricilər sisteminə əsaslanır və bu sistem sərhəd regionlarında ticarət axınlarının intensivliyini, əməliyyatların rentabelliyini, gömrük nəzarət mexanizmlərinin institusional keyfiyyətini və sosial iqtisadi təsir gücünü təhlil etməyə imkan verir. Bu göstəricilər ticarətin yalnız fiziki həcmini deyil, həm də struktur məzmununu, diversifikasiya səviyyəsini, təhlükəsizliyini və iqtisadi dəyər yaratma qabiliyyətini tam analitik çərçivədə qiymətləndirməyə imkan yaradır. Səmərəlilik göstəriciləri həm mikroiqtisadi fəaliyyətin səmərəliliyini, həm də makroiqtisadi təsirlərin gücünü müəyyənləşdirir. Bütün bu meyarların sistemli təhlili sərhəddə ticarətin iqtisadiyyatdakı rolunun dəqiq qiymətləndirilməsini təmin edir.</w:t>
      </w:r>
    </w:p>
    <w:p w14:paraId="11E7F817"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Ticarətin struktur xüsusiyyətləri səmərəlilik ölçmə sisteminin mühüm komponenti kimi çıxış edir və məhsul çeşidinin genişliyi bu çərçivədə əhəmiyyətli göstərici kimi təyin edilir. Malların çeşidinin genişliyi indeksləşdirilmiş ölçmə vasitələri ilə müəyyən edilir və daha çox məhsul çeşidinin sərhəddə dövriyyəyə daxil olması ticarətin iqtisadi məzmununun dərinləşdiyini göstərir [25, p.40]. Çeşid müxtəlifliyinin artması sərhəd regionlarının istehlak bazarının genişlənməsinə, istehsal sektorunun diversifikasiyasına və ticarət subyektləri üçün yeni bazar imkanlarının açılmasına şərait yaradır. Strukturlu və geniş çeşidli məhsul dövriyyəsi ticarətin coğrafi miqyasını genişləndirir və sərhəddə iqtisadi fəallığın artmasına səbəb olur.</w:t>
      </w:r>
    </w:p>
    <w:p w14:paraId="0B2553A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Qiymət rəqabətliliyinin səviyyəsi də ticarətin struktur səmərəliliyinin təhlili üçün mühüm meyardır. Sərhəddə ticarət qiymətlərin formalaşmasına birbaşa təsir göstərir və sərhəd regionlarında qiymət fərqlərinin azalması ticarətin səmərəlilik dərəcəsinin yüksəldiyini göstərir. Qiymət rəqabətliliyi sərhəd boyunca fəaliyyət göstərən istehsal və xidmət subyektlərinin rəqabət mühitinə uyğunlaşmasını gücləndirir və istehlakçılar üçün daha əlçatan qiymət səviyyələri yaradır. Bu proses həmçinin qeyri rəsmi ticarətin azalması ilə nəticələnir və rəsmi ticarətin payını artıran iqtisadi mühit yaradır.</w:t>
      </w:r>
    </w:p>
    <w:p w14:paraId="3206606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İxrac yönümlü məhsulların payının artması sərhədyanı istehsal sahələrinin inkişaf etdiyini göstərən digər struktur göstəricidir. Sərhəd zonalarında istehsal olunan və ixraca yönəldilən məhsulların həcmi regionun iqtisadi potensialının yüksəldiyini, istehsal proseslərinin modernləşdirildiyini və xarici bazarlara çıxış imkanlarının genişləndiyini nümayiş etdirir. Bu göstəricinin yüksək olması sərhəd zonalarının təkcə tranzit məkanı deyil, eyni zamanda istehsal mərkəzi kimi fəaliyyət göstərdiyini təsdiqləyir.</w:t>
      </w:r>
    </w:p>
    <w:p w14:paraId="39ADB84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Ticarət səmərəliliyinin ölçülməsində risklərin idarə olunması və təhlükəsizlik göstəriciləri xüsusi əhəmiyyət daşıyır. Qaçaqmalçılıq faktlarının azalması risk idarəetmə sistemlərinin institusional gücünü və nəzarət mexanizmlərinin tətbiq dərəcəsini müəyyənləşdirən əsas göstəricidir. Gömrük nəzarəti çərçivəsində risklərin düzgün qruplaşdırılması və hədəflənmiş nəzarət alqoritmlərinin tətbiqi qanuni ticarətin həcminin artmasına imkan yaradır və sərhəd keçid məntəqələrində şəffaf əməliyyat mühitinin formalaşmasına səbəb olur.</w:t>
      </w:r>
    </w:p>
    <w:p w14:paraId="588403C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Təhlükəsizlik müayinələrinin səmərəliliyi də ticarətin dayanıqlığı baxımından mühüm göstəricidir. Skaner texnologiyalarının və avtomatlaşdırılmış nəzarət metodlarının tətbiqi yüklərin daha sürətli emal edilməsini təmin edir və həm hüquqi təhlükəsizliyi, həm də operativ səmərəliliyi yüksəldir. Müasir nəzarət vasitələrinin geniş tətbiqi logistika xətlərində yüklənmələrin qarşısını alır və tədarük zəncirinin fasiləsizliyini qoruyur [14, p.46].</w:t>
      </w:r>
    </w:p>
    <w:p w14:paraId="5B914CF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Ticarətin iqtisadi səmərəliliyini xarakterizə edən göstəricilər sırasında rentabellik əsas analitik parametr kimi dəyərləndirilir. Rentabellik sərhəddə ticarət əməliyyatları nəticəsində əldə olunan mənfəətin xərclərə nisbətini müəyyən edir və əməliyyatların real iqtisadi dəyər yaratma qabiliyyətini ölçür. Rentabellik səviyyəsinin yüksək olması ticarətin optimallaşdırılmış strukturda fəaliyyət göstərdiyini, logistika və inzibati xərclərin səmərəli idarə edildiyini və sərhəd regionlarının iqtisadi potensialının aktiv şəkildə reallaşdırıldığını göstərir.</w:t>
      </w:r>
    </w:p>
    <w:p w14:paraId="7042ACF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Ticarət xərclərinin azalma dərəcəsi də iqtisadi səmərəliliyi müəyyən edən mühüm göstəricidir. Prosedurların sadələşdirilməsi, rəqəmsal texnologiyaların tətbiqi və logistika infrastrukturunun modernləşdirilməsi nəticəsində əməliyyat xərcləri azalır və ticarətin ümumi rentabellik səviyyəsi yüksəlir. Xərclərin azalması ticarət subyektləri üçün daha əlverişli biznes mühiti yaradır və sərhəd regionlarının xarici ticarət sistemində rolunu gücləndirir.</w:t>
      </w:r>
    </w:p>
    <w:p w14:paraId="48F28EFE"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Multiplikativ təsir göstəriciləri sərhəddə ticarətin iqtisadiyyatın digər sahələrinə yaratdığı əlavə dəyəri ölçməyə imkan verir. Sərhəddə ticarət logistika sektoruna, nəqliyyat xidmətlərinə, maliyyə və sığorta mexanizmlərinə, ticarət və xidmət sahələrinə geniş təsir göstərir və bütün bu sahələrdə yeni iqtisadi imkanların yaranmasına səbəb olur. Multiplikativ təsir səviyyəsinin yüksək olması sərhəd ticarətinin iqtisadi sistemdə strateji mövqeyə malik olduğunu göstərir və onun regional və milli iqtisadiyyat üçün dəyər yaradan kompleks mexanizm kimi fəaliyyət göstərdiyini təsdiqləyir [36, p.61].</w:t>
      </w:r>
    </w:p>
    <w:p w14:paraId="1C648B81" w14:textId="77777777" w:rsidR="001F6AF2" w:rsidRDefault="00000000">
      <w:pPr>
        <w:spacing w:after="0" w:line="360" w:lineRule="auto"/>
        <w:ind w:firstLine="709"/>
        <w:jc w:val="right"/>
        <w:rPr>
          <w:rFonts w:ascii="Times New Roman" w:hAnsi="Times New Roman" w:cs="Times New Roman"/>
          <w:b/>
          <w:bCs/>
          <w:sz w:val="28"/>
          <w:szCs w:val="28"/>
          <w:lang w:val="tr-TR"/>
        </w:rPr>
      </w:pPr>
      <w:r>
        <w:rPr>
          <w:rFonts w:ascii="Times New Roman" w:hAnsi="Times New Roman" w:cs="Times New Roman"/>
          <w:b/>
          <w:bCs/>
          <w:sz w:val="28"/>
          <w:szCs w:val="28"/>
          <w:lang w:val="tr-TR"/>
        </w:rPr>
        <w:t>Cədvəl 1.1</w:t>
      </w:r>
    </w:p>
    <w:p w14:paraId="5848968C" w14:textId="77777777" w:rsidR="001F6AF2" w:rsidRDefault="00000000">
      <w:pPr>
        <w:spacing w:after="0" w:line="360" w:lineRule="auto"/>
        <w:ind w:firstLine="709"/>
        <w:jc w:val="both"/>
        <w:rPr>
          <w:rFonts w:ascii="Times New Roman" w:hAnsi="Times New Roman" w:cs="Times New Roman"/>
          <w:b/>
          <w:bCs/>
          <w:sz w:val="28"/>
          <w:szCs w:val="28"/>
          <w:lang w:val="tr-TR"/>
        </w:rPr>
      </w:pPr>
      <w:r>
        <w:rPr>
          <w:rFonts w:ascii="Times New Roman" w:hAnsi="Times New Roman" w:cs="Times New Roman"/>
          <w:b/>
          <w:bCs/>
          <w:sz w:val="28"/>
          <w:szCs w:val="28"/>
          <w:lang w:val="tr-TR"/>
        </w:rPr>
        <w:t>Sərhəddə ticarətin səmərəliliyini müəyyən edən əsas iqtisadi göstəricilər</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65"/>
        <w:gridCol w:w="5179"/>
      </w:tblGrid>
      <w:tr w:rsidR="001F6AF2" w14:paraId="778C7175" w14:textId="77777777">
        <w:trPr>
          <w:tblHeader/>
          <w:tblCellSpacing w:w="15" w:type="dxa"/>
        </w:trPr>
        <w:tc>
          <w:tcPr>
            <w:tcW w:w="2205" w:type="pct"/>
            <w:vAlign w:val="center"/>
          </w:tcPr>
          <w:p w14:paraId="73C46C05" w14:textId="77777777" w:rsidR="001F6AF2" w:rsidRDefault="00000000">
            <w:pPr>
              <w:spacing w:after="0" w:line="240" w:lineRule="auto"/>
              <w:jc w:val="both"/>
              <w:rPr>
                <w:rFonts w:ascii="Times New Roman" w:hAnsi="Times New Roman" w:cs="Times New Roman"/>
                <w:b/>
                <w:bCs/>
                <w:sz w:val="24"/>
                <w:szCs w:val="24"/>
                <w:lang w:val="tr-TR"/>
              </w:rPr>
            </w:pPr>
            <w:r>
              <w:rPr>
                <w:rFonts w:ascii="Times New Roman" w:hAnsi="Times New Roman" w:cs="Times New Roman"/>
                <w:b/>
                <w:bCs/>
                <w:sz w:val="24"/>
                <w:szCs w:val="24"/>
                <w:lang w:val="tr-TR"/>
              </w:rPr>
              <w:t>Göstərici qrupu</w:t>
            </w:r>
          </w:p>
        </w:tc>
        <w:tc>
          <w:tcPr>
            <w:tcW w:w="2747" w:type="pct"/>
            <w:vAlign w:val="center"/>
          </w:tcPr>
          <w:p w14:paraId="517102FC" w14:textId="77777777" w:rsidR="001F6AF2" w:rsidRDefault="00000000">
            <w:pPr>
              <w:spacing w:after="0" w:line="240" w:lineRule="auto"/>
              <w:jc w:val="both"/>
              <w:rPr>
                <w:rFonts w:ascii="Times New Roman" w:hAnsi="Times New Roman" w:cs="Times New Roman"/>
                <w:b/>
                <w:bCs/>
                <w:sz w:val="24"/>
                <w:szCs w:val="24"/>
                <w:lang w:val="tr-TR"/>
              </w:rPr>
            </w:pPr>
            <w:r>
              <w:rPr>
                <w:rFonts w:ascii="Times New Roman" w:hAnsi="Times New Roman" w:cs="Times New Roman"/>
                <w:b/>
                <w:bCs/>
                <w:sz w:val="24"/>
                <w:szCs w:val="24"/>
                <w:lang w:val="tr-TR"/>
              </w:rPr>
              <w:t>İqtisadi göstəricinin adı</w:t>
            </w:r>
          </w:p>
        </w:tc>
      </w:tr>
      <w:tr w:rsidR="001F6AF2" w14:paraId="768C0ED6" w14:textId="77777777">
        <w:trPr>
          <w:tblCellSpacing w:w="15" w:type="dxa"/>
        </w:trPr>
        <w:tc>
          <w:tcPr>
            <w:tcW w:w="2205" w:type="pct"/>
            <w:vAlign w:val="center"/>
          </w:tcPr>
          <w:p w14:paraId="61E995A1"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b/>
                <w:bCs/>
                <w:sz w:val="24"/>
                <w:szCs w:val="24"/>
                <w:lang w:val="tr-TR"/>
              </w:rPr>
              <w:t>Ticarət həcmi və miqyası</w:t>
            </w:r>
          </w:p>
        </w:tc>
        <w:tc>
          <w:tcPr>
            <w:tcW w:w="2747" w:type="pct"/>
            <w:vAlign w:val="center"/>
          </w:tcPr>
          <w:p w14:paraId="591E32B4"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Mal dövriyyəsinin ümumi dəyəri</w:t>
            </w:r>
          </w:p>
        </w:tc>
      </w:tr>
      <w:tr w:rsidR="001F6AF2" w14:paraId="0770C55A" w14:textId="77777777">
        <w:trPr>
          <w:tblCellSpacing w:w="15" w:type="dxa"/>
        </w:trPr>
        <w:tc>
          <w:tcPr>
            <w:tcW w:w="2205" w:type="pct"/>
            <w:vAlign w:val="center"/>
          </w:tcPr>
          <w:p w14:paraId="762213B6"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145B2395"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Sərhəd ticarətinin idxal və ixracda payı</w:t>
            </w:r>
          </w:p>
        </w:tc>
      </w:tr>
      <w:tr w:rsidR="001F6AF2" w14:paraId="16DF3EE1" w14:textId="77777777">
        <w:trPr>
          <w:tblCellSpacing w:w="15" w:type="dxa"/>
        </w:trPr>
        <w:tc>
          <w:tcPr>
            <w:tcW w:w="2205" w:type="pct"/>
            <w:vAlign w:val="center"/>
          </w:tcPr>
          <w:p w14:paraId="0C4FC658"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6B78DDBB"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Ticarət dövriyyəsinin artım tempi</w:t>
            </w:r>
          </w:p>
        </w:tc>
      </w:tr>
      <w:tr w:rsidR="001F6AF2" w14:paraId="2D12F711" w14:textId="77777777">
        <w:trPr>
          <w:tblCellSpacing w:w="15" w:type="dxa"/>
        </w:trPr>
        <w:tc>
          <w:tcPr>
            <w:tcW w:w="2205" w:type="pct"/>
            <w:vAlign w:val="center"/>
          </w:tcPr>
          <w:p w14:paraId="0D7BFF9B"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b/>
                <w:bCs/>
                <w:sz w:val="24"/>
                <w:szCs w:val="24"/>
                <w:lang w:val="tr-TR"/>
              </w:rPr>
              <w:t>Logistika və tranzit səmərəliliyi</w:t>
            </w:r>
          </w:p>
        </w:tc>
        <w:tc>
          <w:tcPr>
            <w:tcW w:w="2747" w:type="pct"/>
            <w:vAlign w:val="center"/>
          </w:tcPr>
          <w:p w14:paraId="690983D2"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Sərhəddən keçid vaxtı</w:t>
            </w:r>
          </w:p>
        </w:tc>
      </w:tr>
      <w:tr w:rsidR="001F6AF2" w14:paraId="1552D6F6" w14:textId="77777777">
        <w:trPr>
          <w:tblCellSpacing w:w="15" w:type="dxa"/>
        </w:trPr>
        <w:tc>
          <w:tcPr>
            <w:tcW w:w="2205" w:type="pct"/>
            <w:vAlign w:val="center"/>
          </w:tcPr>
          <w:p w14:paraId="4B9D109B"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6392E472"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Logistika xərclərinin həcmi</w:t>
            </w:r>
          </w:p>
        </w:tc>
      </w:tr>
      <w:tr w:rsidR="001F6AF2" w14:paraId="474F3932" w14:textId="77777777">
        <w:trPr>
          <w:tblCellSpacing w:w="15" w:type="dxa"/>
        </w:trPr>
        <w:tc>
          <w:tcPr>
            <w:tcW w:w="2205" w:type="pct"/>
            <w:vAlign w:val="center"/>
          </w:tcPr>
          <w:p w14:paraId="260D6446"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6ACCA127"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Yükaşırma qabiliyyəti</w:t>
            </w:r>
          </w:p>
        </w:tc>
      </w:tr>
      <w:tr w:rsidR="001F6AF2" w14:paraId="1CE9BC1C" w14:textId="77777777">
        <w:trPr>
          <w:tblCellSpacing w:w="15" w:type="dxa"/>
        </w:trPr>
        <w:tc>
          <w:tcPr>
            <w:tcW w:w="2205" w:type="pct"/>
            <w:vAlign w:val="center"/>
          </w:tcPr>
          <w:p w14:paraId="45521FE3"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7A9E1071"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Tranzit sürəti</w:t>
            </w:r>
          </w:p>
        </w:tc>
      </w:tr>
      <w:tr w:rsidR="001F6AF2" w14:paraId="167D013F" w14:textId="77777777">
        <w:trPr>
          <w:tblCellSpacing w:w="15" w:type="dxa"/>
        </w:trPr>
        <w:tc>
          <w:tcPr>
            <w:tcW w:w="2205" w:type="pct"/>
            <w:vAlign w:val="center"/>
          </w:tcPr>
          <w:p w14:paraId="4DE237CB"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b/>
                <w:bCs/>
                <w:sz w:val="24"/>
                <w:szCs w:val="24"/>
                <w:lang w:val="tr-TR"/>
              </w:rPr>
              <w:t>Gömrük və institusional göstəricilər</w:t>
            </w:r>
          </w:p>
        </w:tc>
        <w:tc>
          <w:tcPr>
            <w:tcW w:w="2747" w:type="pct"/>
            <w:vAlign w:val="center"/>
          </w:tcPr>
          <w:p w14:paraId="7A83345E"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Gömrük rüsumları və vergi daxilolmaları</w:t>
            </w:r>
          </w:p>
        </w:tc>
      </w:tr>
      <w:tr w:rsidR="001F6AF2" w14:paraId="1815ABE8" w14:textId="77777777">
        <w:trPr>
          <w:tblCellSpacing w:w="15" w:type="dxa"/>
        </w:trPr>
        <w:tc>
          <w:tcPr>
            <w:tcW w:w="2205" w:type="pct"/>
            <w:vAlign w:val="center"/>
          </w:tcPr>
          <w:p w14:paraId="54A5948B"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6F407D59"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Rəqəmsal gömrük xidmətlərinin tətbiqi səviyyəsi</w:t>
            </w:r>
          </w:p>
        </w:tc>
      </w:tr>
      <w:tr w:rsidR="001F6AF2" w14:paraId="2454560B" w14:textId="77777777">
        <w:trPr>
          <w:tblCellSpacing w:w="15" w:type="dxa"/>
        </w:trPr>
        <w:tc>
          <w:tcPr>
            <w:tcW w:w="2205" w:type="pct"/>
            <w:vAlign w:val="center"/>
          </w:tcPr>
          <w:p w14:paraId="12709E67"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057994F6"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Compliance səviyyəsi</w:t>
            </w:r>
          </w:p>
        </w:tc>
      </w:tr>
      <w:tr w:rsidR="001F6AF2" w14:paraId="30E8A710" w14:textId="77777777">
        <w:trPr>
          <w:tblCellSpacing w:w="15" w:type="dxa"/>
        </w:trPr>
        <w:tc>
          <w:tcPr>
            <w:tcW w:w="2205" w:type="pct"/>
            <w:vAlign w:val="center"/>
          </w:tcPr>
          <w:p w14:paraId="5275B212"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b/>
                <w:bCs/>
                <w:sz w:val="24"/>
                <w:szCs w:val="24"/>
                <w:lang w:val="tr-TR"/>
              </w:rPr>
              <w:t>Sosial-iqtisadi təsir göstəriciləri</w:t>
            </w:r>
          </w:p>
        </w:tc>
        <w:tc>
          <w:tcPr>
            <w:tcW w:w="2747" w:type="pct"/>
            <w:vAlign w:val="center"/>
          </w:tcPr>
          <w:p w14:paraId="083D40B9"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Yeni iş yerlərinin sayı</w:t>
            </w:r>
          </w:p>
        </w:tc>
      </w:tr>
      <w:tr w:rsidR="001F6AF2" w14:paraId="2282D3D0" w14:textId="77777777">
        <w:trPr>
          <w:tblCellSpacing w:w="15" w:type="dxa"/>
        </w:trPr>
        <w:tc>
          <w:tcPr>
            <w:tcW w:w="2205" w:type="pct"/>
            <w:vAlign w:val="center"/>
          </w:tcPr>
          <w:p w14:paraId="685DF0F2"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76F14F79"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Yerli sahibkarlığın genişlənməsi</w:t>
            </w:r>
          </w:p>
        </w:tc>
      </w:tr>
      <w:tr w:rsidR="001F6AF2" w14:paraId="08F733A5" w14:textId="77777777">
        <w:trPr>
          <w:tblCellSpacing w:w="15" w:type="dxa"/>
        </w:trPr>
        <w:tc>
          <w:tcPr>
            <w:tcW w:w="2205" w:type="pct"/>
            <w:vAlign w:val="center"/>
          </w:tcPr>
          <w:p w14:paraId="100499F9"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1B939CE8"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İnfrastruktur investisiyalarının həcmi</w:t>
            </w:r>
          </w:p>
        </w:tc>
      </w:tr>
      <w:tr w:rsidR="001F6AF2" w14:paraId="6308E960" w14:textId="77777777">
        <w:trPr>
          <w:tblCellSpacing w:w="15" w:type="dxa"/>
        </w:trPr>
        <w:tc>
          <w:tcPr>
            <w:tcW w:w="2205" w:type="pct"/>
            <w:vAlign w:val="center"/>
          </w:tcPr>
          <w:p w14:paraId="0E84FFBC"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b/>
                <w:bCs/>
                <w:sz w:val="24"/>
                <w:szCs w:val="24"/>
                <w:lang w:val="tr-TR"/>
              </w:rPr>
              <w:t>Ticarətin struktur göstəriciləri</w:t>
            </w:r>
          </w:p>
        </w:tc>
        <w:tc>
          <w:tcPr>
            <w:tcW w:w="2747" w:type="pct"/>
            <w:vAlign w:val="center"/>
          </w:tcPr>
          <w:p w14:paraId="1F538B04"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Məhsul çeşidinin genişliyi</w:t>
            </w:r>
          </w:p>
        </w:tc>
      </w:tr>
      <w:tr w:rsidR="001F6AF2" w14:paraId="71FC46EF" w14:textId="77777777">
        <w:trPr>
          <w:tblCellSpacing w:w="15" w:type="dxa"/>
        </w:trPr>
        <w:tc>
          <w:tcPr>
            <w:tcW w:w="2205" w:type="pct"/>
            <w:vAlign w:val="center"/>
          </w:tcPr>
          <w:p w14:paraId="67EDE84E"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2CF5EFC6"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Qiymət rəqabətliliyi səviyyəsi</w:t>
            </w:r>
          </w:p>
        </w:tc>
      </w:tr>
      <w:tr w:rsidR="001F6AF2" w14:paraId="0AE14F45" w14:textId="77777777">
        <w:trPr>
          <w:tblCellSpacing w:w="15" w:type="dxa"/>
        </w:trPr>
        <w:tc>
          <w:tcPr>
            <w:tcW w:w="2205" w:type="pct"/>
            <w:vAlign w:val="center"/>
          </w:tcPr>
          <w:p w14:paraId="763A2E04"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31043E93"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İxrac yönümlü məhsulların payı</w:t>
            </w:r>
          </w:p>
        </w:tc>
      </w:tr>
      <w:tr w:rsidR="001F6AF2" w14:paraId="05F26EEE" w14:textId="77777777">
        <w:trPr>
          <w:tblCellSpacing w:w="15" w:type="dxa"/>
        </w:trPr>
        <w:tc>
          <w:tcPr>
            <w:tcW w:w="2205" w:type="pct"/>
            <w:vAlign w:val="center"/>
          </w:tcPr>
          <w:p w14:paraId="00AAB095"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b/>
                <w:bCs/>
                <w:sz w:val="24"/>
                <w:szCs w:val="24"/>
                <w:lang w:val="tr-TR"/>
              </w:rPr>
              <w:t>Risk və təhlükəsizlik göstəriciləri</w:t>
            </w:r>
          </w:p>
        </w:tc>
        <w:tc>
          <w:tcPr>
            <w:tcW w:w="2747" w:type="pct"/>
            <w:vAlign w:val="center"/>
          </w:tcPr>
          <w:p w14:paraId="2F45058B"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Qaçaqmalçılıq hallarının azalması</w:t>
            </w:r>
          </w:p>
        </w:tc>
      </w:tr>
      <w:tr w:rsidR="001F6AF2" w14:paraId="3036CA0E" w14:textId="77777777">
        <w:trPr>
          <w:tblCellSpacing w:w="15" w:type="dxa"/>
        </w:trPr>
        <w:tc>
          <w:tcPr>
            <w:tcW w:w="2205" w:type="pct"/>
            <w:vAlign w:val="center"/>
          </w:tcPr>
          <w:p w14:paraId="40965FBD"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63E3AB7D"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Təhlükəsizlik müayinələrinin səmərəliliyi</w:t>
            </w:r>
          </w:p>
        </w:tc>
      </w:tr>
      <w:tr w:rsidR="001F6AF2" w14:paraId="548FEBDB" w14:textId="77777777">
        <w:trPr>
          <w:tblCellSpacing w:w="15" w:type="dxa"/>
        </w:trPr>
        <w:tc>
          <w:tcPr>
            <w:tcW w:w="2205" w:type="pct"/>
            <w:vAlign w:val="center"/>
          </w:tcPr>
          <w:p w14:paraId="40F2474A"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b/>
                <w:bCs/>
                <w:sz w:val="24"/>
                <w:szCs w:val="24"/>
                <w:lang w:val="tr-TR"/>
              </w:rPr>
              <w:t>İqtisadi səmərəlilik göstəriciləri</w:t>
            </w:r>
          </w:p>
        </w:tc>
        <w:tc>
          <w:tcPr>
            <w:tcW w:w="2747" w:type="pct"/>
            <w:vAlign w:val="center"/>
          </w:tcPr>
          <w:p w14:paraId="29A5B14F"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Rentabellik</w:t>
            </w:r>
          </w:p>
        </w:tc>
      </w:tr>
      <w:tr w:rsidR="001F6AF2" w14:paraId="61750F71" w14:textId="77777777">
        <w:trPr>
          <w:tblCellSpacing w:w="15" w:type="dxa"/>
        </w:trPr>
        <w:tc>
          <w:tcPr>
            <w:tcW w:w="2205" w:type="pct"/>
            <w:vAlign w:val="center"/>
          </w:tcPr>
          <w:p w14:paraId="30580754"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3C1DE208"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Ticarət xərclərinin azalma dərəcəsi</w:t>
            </w:r>
          </w:p>
        </w:tc>
      </w:tr>
      <w:tr w:rsidR="001F6AF2" w14:paraId="2573C646" w14:textId="77777777">
        <w:trPr>
          <w:tblCellSpacing w:w="15" w:type="dxa"/>
        </w:trPr>
        <w:tc>
          <w:tcPr>
            <w:tcW w:w="2205" w:type="pct"/>
            <w:vAlign w:val="center"/>
          </w:tcPr>
          <w:p w14:paraId="62DE4747" w14:textId="77777777" w:rsidR="001F6AF2" w:rsidRDefault="001F6AF2">
            <w:pPr>
              <w:spacing w:after="0" w:line="240" w:lineRule="auto"/>
              <w:jc w:val="both"/>
              <w:rPr>
                <w:rFonts w:ascii="Times New Roman" w:hAnsi="Times New Roman" w:cs="Times New Roman"/>
                <w:sz w:val="24"/>
                <w:szCs w:val="24"/>
                <w:lang w:val="tr-TR"/>
              </w:rPr>
            </w:pPr>
          </w:p>
        </w:tc>
        <w:tc>
          <w:tcPr>
            <w:tcW w:w="2747" w:type="pct"/>
            <w:vAlign w:val="center"/>
          </w:tcPr>
          <w:p w14:paraId="046157D9" w14:textId="77777777" w:rsidR="001F6AF2" w:rsidRDefault="00000000">
            <w:pPr>
              <w:spacing w:after="0" w:line="240" w:lineRule="auto"/>
              <w:jc w:val="both"/>
              <w:rPr>
                <w:rFonts w:ascii="Times New Roman" w:hAnsi="Times New Roman" w:cs="Times New Roman"/>
                <w:sz w:val="24"/>
                <w:szCs w:val="24"/>
                <w:lang w:val="tr-TR"/>
              </w:rPr>
            </w:pPr>
            <w:r>
              <w:rPr>
                <w:rFonts w:ascii="Times New Roman" w:hAnsi="Times New Roman" w:cs="Times New Roman"/>
                <w:sz w:val="24"/>
                <w:szCs w:val="24"/>
                <w:lang w:val="tr-TR"/>
              </w:rPr>
              <w:t>Multiplikativ təsir göstəriciləri</w:t>
            </w:r>
          </w:p>
        </w:tc>
      </w:tr>
    </w:tbl>
    <w:p w14:paraId="658A25DF"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b/>
          <w:bCs/>
          <w:sz w:val="28"/>
          <w:szCs w:val="28"/>
          <w:lang w:val="tr-TR"/>
        </w:rPr>
        <w:t>Mənbə:</w:t>
      </w:r>
      <w:r>
        <w:rPr>
          <w:rFonts w:ascii="Times New Roman" w:hAnsi="Times New Roman" w:cs="Times New Roman"/>
          <w:sz w:val="28"/>
          <w:szCs w:val="28"/>
          <w:lang w:val="tr-TR"/>
        </w:rPr>
        <w:t xml:space="preserve"> World Customs Organization (WCO) məluamtlarına əsasən müəllif tərəfindən hazırlanmışdır</w:t>
      </w:r>
    </w:p>
    <w:p w14:paraId="7FDBCFE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Bu göstəricilərin hər biri sərhədə yaxın ərazilərdə ticarət axınlarının miqyasını, keyfiyyətini, təhlükəsizliyini və iqtisadi dəyər yaratma potensialını müxtəlif aspektlərdən qiymətləndirir. Bütün meyarların birgə analizi sərhəddə ticarətin səmərəlilik səviyyəsinin obyektiv şəkildə ölçülməsinə imkan yaradır və sərhəd regionlarının iqtisadi inkişafında bu ticarət formasının strateji rolunu elmi əsaslarla müəyyənləşdirir.</w:t>
      </w:r>
    </w:p>
    <w:p w14:paraId="2EC490DD"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lang w:val="az-Latn-AZ"/>
        </w:rPr>
        <w:t xml:space="preserve">1.3. Gömrük orqanlarının fəaliyyətində səmərəlilik meyarları və </w:t>
      </w:r>
      <w:proofErr w:type="spellStart"/>
      <w:r>
        <w:rPr>
          <w:rFonts w:ascii="Times New Roman" w:hAnsi="Times New Roman" w:cs="Times New Roman"/>
          <w:b/>
          <w:bCs/>
          <w:color w:val="auto"/>
          <w:sz w:val="28"/>
          <w:szCs w:val="28"/>
          <w:lang w:val="az-Latn-AZ"/>
        </w:rPr>
        <w:t>qiymətləndirmə</w:t>
      </w:r>
      <w:proofErr w:type="spellEnd"/>
      <w:r>
        <w:rPr>
          <w:rFonts w:ascii="Times New Roman" w:hAnsi="Times New Roman" w:cs="Times New Roman"/>
          <w:b/>
          <w:bCs/>
          <w:color w:val="auto"/>
          <w:sz w:val="28"/>
          <w:szCs w:val="28"/>
          <w:lang w:val="az-Latn-AZ"/>
        </w:rPr>
        <w:t xml:space="preserve"> metodları</w:t>
      </w:r>
    </w:p>
    <w:p w14:paraId="45F63923"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Gömrük orqanlarının fəaliyyəti beynəlxalq ticarət sisteminin təhlükəsiz, səmərəli və institusional baxımdan sabit şəkildə idarə edilməsinə xidmət edən strateji idarəetmə sahəsidir. Bu sistemin dayanıqlığı gömrük əməliyyatlarının effektivliyi ilə birbaşa əlaqəlidir və həmin effektivliyin düzgün qiymətləndirilməsi üçün çoxölçülü meyarlar əsasında analitik çərçivə formalaşdırılır. Gömrük orqanlarının fəaliyyəti yalnız fiskal nəticələr yaratmır. Eyni zamanda ticarətin sürətinə, təhlükəsizlik səviyyəsinə, logistika xərclərinə, risklərin idarə olunmasına və dövlət idarəçiliyi standartlarına bilavasitə təsir göstərir. Buna görə də səmərəlilik meyarlarının sistemli şəkildə müəyyənləşdirilməsi və qiymətləndirmə metodlarının elmi əsaslarla qurulması gömrük idarəçiliyinin institusional modernləşməsi üçün mühüm şərtdir.</w:t>
      </w:r>
    </w:p>
    <w:p w14:paraId="11FADF2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Gömrük orqanlarının səmərəliliyini qiymətləndirən ən mühüm meyar qruplarından biri operativlik göstəriciləridir. Bu göstəricilər gömrük əməliyyatlarının nə qədər sürətli və fasiləsiz həyata keçirildiyini müəyyən edir və ticarət axınlarının rəqabət qabiliyyətinə birbaşa təsir göstərir. Keçid vaxtı gömrük fəaliyyətində operativliyi xarakterizə edən əsas göstəricilərdən biridir. Yüklərin sərhəddən keçməsi üçün tələb olunan vaxtın ölçülməsi beynəlxalq standartlarda prioritet qəbul edilmişdir və Dünya Gömrük Təşkilatı ilə Dünya Bankı bu göstəricini ticarət səmərəliliyinin aparıcı indikatoru kimi təyin edir [33, p.79]. Keçid vaxtının optimallaşdırılması ticarət xərclərinin azalmasına, logistika əməliyyatlarının sürətlənməsinə və sərhəd-keçid məntəqələrində əməliyyatların fasiləsiz həyata keçirilməsinə xidmət edir.</w:t>
      </w:r>
    </w:p>
    <w:p w14:paraId="605013DD"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Gömrük prosedurlarının sadəliyi və rəqəmsallaşma səviyyəsi də xidmət keyfiyyətinin müəyyən edilməsi üçün fundamental əhəmiyyətə malikdir. Elektron bəyannamələrin yüksək paya malik olması, ASYCUDA, SMART Customs və digər e-gömrük texnologiyalarının geniş tətbiqi sənəd dövriyyəsini azaltmaqla əməliyyatların dəqiqliyini və sürətini artırır. Rəqəmsallaşma səviyyəsinin yüksəlməsi insan müdaxiləsini minimuma endirir və şəffaflığı gücləndirir. Real vaxtda risk qiymətləndirmə sistemlərinin tətbiqi isə gömrük nəzarətinin çevikliyini və adekvatlığını artırır.</w:t>
      </w:r>
    </w:p>
    <w:p w14:paraId="7B16FBA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Yükaşırma və buraxılış qabiliyyəti də operativlik meyarı kimi ciddi analitik əhəmiyyət daşıyır. Sərhəd-keçid məntəqələrinin saatlıq və günlük buraxıcılıq gücü nə qədər yüksəkdirsə ticarət axınları bir o qədər fasiləsiz və sürətli şəkildə həyata keçirilir. Buraxıcılıq gücünün artması növbələrin azalması və ticarət subyektlərinin əməliyyat xərclərinin minimal səviyyəyə endirilməsi deməkdir.</w:t>
      </w:r>
    </w:p>
    <w:p w14:paraId="3BC1CF0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Gömrük orqanlarının fəaliyyətinin qiymətləndirilməsində iqtisadi və fiskal göstəricilər mühüm analitik baza təşkil edir. Gömrük rüsumlarından və vergilərdən daxilolmalar dövlət maliyyəsinin sabitliyini təmin edən aparıcı mənbələrdən biridir. Büdcəyə daxil olan vəsaitlərin həcmi gömrük inzibatçılığının keyfiyyətini, rəsmi ticarətin genişliyini və ticarət mühitinin institusional dayanıqlığını nümayiş etdirir. Proqnoz göstəriciləri ilə faktiki daxilolmalar arasındakı fərqin az olması fiskal idarəetmənin dəqiqliyini artırır və səmərəli gömrük siyasətinin formalaşdığını sübut edir.</w:t>
      </w:r>
    </w:p>
    <w:p w14:paraId="152FF56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Ticarət xərclərinin azaldılması da iqtisadi səmərəliliyi müəyyən edən əsas göstəricilər sırasında yer alır. Gömrük sənədləşməsinin sadələşdirilməsi nəticəsində sənədləşmə xərcləri azalır və logistika xərclərində ciddi optimallaşdırma baş verir. Qeyri-tarif maneələrinin aradan qaldırılması ticarət prosesinin daha çevik və rəqabətədavamlı mühitdə həyata keçirilməsinə yol açır.</w:t>
      </w:r>
    </w:p>
    <w:p w14:paraId="6BE6D45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İdxal və ixrac həcmlərinə təsir də gömrük fəaliyyətinin iqtisadi nəticələrini müəyyən edir. Gömrük sisteminin effektiv idarə olunması beynəlxalq ticarət dövriyyəsinin artmasına, sərhəd ticarətinin ümumi xarici ticarətdəki payının yüksəlməsinə və bazarların genişlənməsinə şərait yaradır. Ticarətin genişlənməsi logistika və nəqliyyat xidmətlərinin də inkişafını təmin edir və iqtisadi sistemdə çoxşaxəli təsir gücü formalaşdırır.</w:t>
      </w:r>
    </w:p>
    <w:p w14:paraId="116D494E"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Gömrük orqanlarının əsas funksiyalarından biri ticarət axınlarının təhlükəsizliyini təmin etməkdir. Buna görə də təhlükəsizlik meyarlarının qiymətləndirilməsi institusional səmərəliliyin əsas komponentlərindən biri kimi çıxış edir. Qaçaqmalçılığın aşkarlanması dərəcəsi risk əsaslı yoxlamaların nə dərəcədə effektiv tətbiq olunduğunu göstərir. Skaner və fiziki yoxlamalar əsasında aşkarlanan pozuntuların sayı gömrük nəzarətinin adekvatlığını dəyərləndirməyə imkan verir [20, p.89].</w:t>
      </w:r>
    </w:p>
    <w:p w14:paraId="28A1E943"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Təhlükəli və qadağan olunmuş yüklərin aşkarlanması da səmərəlilik meyarı kimi əhəmiyyətlidir. Kimyəvi maddələr, narkotik vasitələr, silah və dual-use mallar üzrə nəzarətin güclü olması gömrük sərhədinin təhlükəsizlik səviyyəsini yüksəldir və beynəlxalq ticarət üçün etibarlı mühit formalaşdırır. Təhlükəsizlik standartlarına uyğunluq səviyyəsi də gömrük əməliyyatlarının beynəlxalq normalara inteqrasiya dərəcəsini göstərir. WCO SAFE Framework və AEO sistemlərinin tətbiqi təhlükəsiz ticarət mühitinin formalaşdırılmasına təsir göstərir və tənzimləyici orqanların institusional etibarlılığını gücləndirir.</w:t>
      </w:r>
    </w:p>
    <w:p w14:paraId="667E847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Gömrük fəaliyyətində risklərin idarə edilməsi əsas strateji idarəetmə vasitələrindən biridir. Risk əsaslı yoxlamaların payının geniş olması nəzarət mexanizmlərinin daha səmərəli və hədəflənmiş şəkildə həyata keçirildiyini göstərir. Yaşıl, sarı və qırmızı dəhliz bölgüsünün düzgün tətbiqi minimal müdaxilə ilə maksimal nəzarətin təmin olunmasına imkan verir.</w:t>
      </w:r>
    </w:p>
    <w:p w14:paraId="1EAC638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Fərdi risk profillərinin yenilənmə tezliyi risk idarəetməsinin davamlı dinamikasını müəyyən edir. Big Data, süni intellekt və Machine Learning əsaslı analizlərin tətbiqi risklərin düzgün proqnozlaşdırılmasını və risk qruplarının dəqiq müəyyən edilməsini təmin edir. Yoxlama səviyyəsinin optimallaşdırılması isə fiziki yoxlamaların azaldılması ilə əməliyyatların sürətlənməsinə və gömrük personalının resurslarının daha effektiv bölüşdürülməsinə şərait yaradır.</w:t>
      </w:r>
    </w:p>
    <w:p w14:paraId="567328E1"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Gömrük orqanlarının institusional səmərəliliyi kadr potensialının səviyyəsi, şəffaflıq göstəriciləri və beynəlxalq qiymətləndirmələrdə mövqelərlə müəyyən edilir. Kadr hazırlığının yüksək olması gömrük əməkdaşlarının peşəkar fəaliyyətini gücləndirir və əməliyyatların dəqiqliyini təmin edir. Sertifikasiya proqramları və peşə hazırlığı təlimləri kadr potensialının davamlı inkişafı üçün vacibdir [15, p.79].</w:t>
      </w:r>
    </w:p>
    <w:p w14:paraId="1AF41CB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Şəffaflığın təmin edilməsi korrupsiyaya qarşı mübarizənin əsas prinsipidir. Etik standartların tətbiqi, ictimai hesabatlılıq sisteminin işini gücləndirmə və şikayətlərin operativ araşdırılması gömrük orqanlarının cəmiyyətlə əlaqələrinin institusional etibarlılığını artırır.</w:t>
      </w:r>
    </w:p>
    <w:p w14:paraId="21FECF0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Beynəlxalq reytinqlərdə mövqelər də gömrük sisteminin effektivliyini qiymətləndirən mühüm vasitədir. Logistic Performance Index, Doing Business və WCO qiymətləndirmələri gömrük idarəçiliyinin qlobal standartlara uyğunluğunu göstərir və modernləşmə səviyyəsini müəyyən edir.</w:t>
      </w:r>
    </w:p>
    <w:p w14:paraId="4758457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Gömrük orqanlarının fəaliyyətinin qiymətləndirilməsi beynəlxalq ticarət axınlarının idarə olunmasında istifadə edilən idarəetmə metodlarının, nəzarət mexanizmlərinin və təşkilati funksiyaların səmərəliliyinin müəyyənləşdirilməsi baxımından strateji əhəmiyyət daşıyan analitik proses kimi xarakterizə edilir. Bu proses həm idarəetmənin keyfiyyətini ölçməyə, həm də gömrük sisteminin institusional dayanıqlığını və iqtisadi təsir gücünü müəyyənləşdirməyə yönəlmiş çoxölçülü metodologiyalar əsasında həyata keçirilir. Qiymətləndirmənin məqsədi gömrük fəaliyyətinin real nəticələrini obyektiv şəkildə müəyyən etmək, institusional boşluqları üzə çıxarmaq və gömrük idarəçiliyinin modernləşdirilməsi üçün elmi əsaslara söykənmiş qərarvermə çərçivəsi formalaşdırmaqdır. Buna görə də qiymətləndirmə metodları kəmiyyət, keyfiyyət və kompleks analitik yanaşmalar üzrə diferensiasiya edilir və hər bir metod gömrük orqanlarının funksional fəaliyyətinin müəyyən aspektlərini əhatə edir.</w:t>
      </w:r>
    </w:p>
    <w:p w14:paraId="206E840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Kəmiyyət yanaşması gömrük əməliyyatlarının say, zaman, göstərici ölçüləri və performans dəyərləri üzrə dəqiq ölçülə bilən parametrlər əsasında qiymətləndirilməsini təmin edir. Bu çərçivədə istifadə olunan ən mühüm metod əmsal və indekslərin hesablanmasıdır. Keçid vaxtı indeksi yüklərin sərhəddən keçməsi üçün tələb edilən ümumi müddətin optimallaşdırılma səviyyəsini müəyyənləşdirir və ticarət proseslərinin sürətliliyini əks etdirir. Skaner aşkarlama indeksi texnoloji nəzarət vasitələrinin səmərəliliyini göstərən mühüm göstəricidir və təhlükəsizlik risklərinin aşkarlanması üzrə aparıcı parametrlərdən biri kimi qəbul edilir [36, p.77]. Rəqəmsallaşma indeksi gömrük əməliyyatlarında elektron sistemlərin tətbiq səviyyəsini ölçür və e-gömrük texnologiyalarının xidmət keyfiyyətinə təsirini müəyyənləşdirir. Yoxlama effektivliyi əmsalı isə fiziki və elektron yoxlamaların nəticələri ilə risklərin idarə olunması mexanizmlərinin adekvatlığını ölçən göstərici kimi qiymətləndirilir.</w:t>
      </w:r>
    </w:p>
    <w:p w14:paraId="4ACB120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Statistik təhlil metodları da kəmiyyət yanaşmasının mühüm elementidir. Dinamika analizləri gömrük göstəricilərinin zaman üzrə dəyişməsini müəyyənləşdirir və idarəetmə proseslərinin inkişaf trayektoriyasını izləməyə imkan yaradır. Trendlərin modelləşdirilməsi uzunmüddətli dəyişikliklərin təhlilini aparmaqla strateji proqnozların hazırlanmasını təmin edir. Korelyasiya və regresiya təhlili isə ticarət həcmi və gömrük fəaliyyəti arasındakı qarşılıqlı iqtisadi asılılıqları müəyyənləşdirir və gömrük sisteminin iqtisadi təsir gücünü analitik səviyyədə qiymətləndirir.</w:t>
      </w:r>
    </w:p>
    <w:p w14:paraId="6B7F4D17"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KPI əsaslı qiymətləndirmə kəmiyyət metodlarının daha çevik tətbiqi üçün istifadə edilən idarəetmə alətidir. Gündəlik və aylıq buraxılış gücünün ölçülməsi sərhəd-keçid məntəqələrinin real əməliyyat performansını müəyyənləşdirir. Risk profillərinin yenilənmə tezliyi risk idarəetmə sisteminin çevikliyini və məlumat bazasının aktuallığını təsdiqləyir. Aşkarlanma səviyyəsinin artım əmsalı isə təhlükəsizlik nəzarətinin effektivliyini faktiki göstəricilər əsasında qiymətləndirir.</w:t>
      </w:r>
    </w:p>
    <w:p w14:paraId="0DBD4E30"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Keyfiyyət yanaşması gömrük orqanlarının fəaliyyətinin dərin institusional təhlilini aparmağa imkan verən metodlardan ibarətdir və bu metodlar fərdi müşahidələrə, ekspert rəyinə və təşkilati audit proseslərinə əsaslanır. Ekspert qiymətləndirmələri gömrük mütəxəssisləri, logistika şirkətləri və sahibkarlar arasında aparılan sorğular vasitəsilə həyata keçirilir [39, p.100]. Bu sorğular gömrük xidmətlərində mövcud üstünlüklərin və çatışmazlıqların müəyyən edilməsinə, ticarət əməliyyatlarının keyfiyyət dərəcəsinin qiymətləndirilməsinə və xidmət səviyyəsinin təhlilinə imkan yaradır.</w:t>
      </w:r>
    </w:p>
    <w:p w14:paraId="326D516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Təşkilati audit və gömrük prosedurlarının monitorinqi də keyfiyyət qiymətləndirməsinin əsas metodu kimi istifadə edilir. Daxili audit gömrük orqanlarının fəaliyyətində nizamlılıq, şəffaflıq və müvafiqlik səviyyəsini ölçür və idarəetmənin effektivliyini artıran institusional mexanizmlərin müəyyənləşdirilməsinə kömək edir. International Customs Audit xüsusilə WCO Peer Review mexanizmi əsasında aparılır və gömrük sisteminin beynəlxalq standartlara uyğunluğunu qiymətləndirir. ISO 9001 keyfiyyət standartlarına uyğunluğun ölçülməsi də təşkilati funksiyaların məqsədyönlülük səviyyəsinin müəyyən edilməsinə xidmət edir.</w:t>
      </w:r>
    </w:p>
    <w:p w14:paraId="26D84DE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Məqsəd nəticə müqayisəsi gömrük fəaliyyətinin idarəetmə çərçivəsində müəyyən edilmiş hədəf göstəriciləri ilə faktiki nəticələr arasındakı uyğunluğun ölçülməsinə imkan verir. Bu metod strateji idarəçilik prinsiplərinin tətbiq səviyyəsini dəyərləndirir və gömrük siyasətində effektivliyin yüksəldilməsi üçün tələb olunan istiqamətləri müəyyənləşdirir.</w:t>
      </w:r>
    </w:p>
    <w:p w14:paraId="5330A7C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 xml:space="preserve">Kompleks metodlar kəmiyyət və keyfiyyət yanaşmalarının sintezindən ibarət olmaqla gömrük fəaliyyətinin həm iqtisadi, həm institusional, həm də təhlükəsizlik yükünü vahid analitik çərçivədə qiymətləndirməyə imkan verir. Xərc fayda analizi gömrükdə tətbiq edilən rəqəmsallaşma layihələrinin iqtisadi təsir gücünü ölçən əsas metodlardan biridir. Bu analiz nəticəsində nəzarət sistemlərinin maliyyə yükü ilə əldə edilən təhlükəsizlik və operativlik faydaları müqayisə edilir və layihələrin səmərəliliyi müəyyənləşdirilir. </w:t>
      </w:r>
    </w:p>
    <w:p w14:paraId="0CA22F01"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rPr>
        <w:t>II FƏSİL. AZƏRBAYCAN RESPUBL</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KASINDA SƏRHƏDDƏ T</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CARƏT</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N SƏMƏRƏL</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L</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K GÖSTƏR</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C</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LƏR</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N</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N TƏHL</w:t>
      </w:r>
      <w:r>
        <w:rPr>
          <w:rFonts w:ascii="Times New Roman" w:hAnsi="Times New Roman" w:cs="Times New Roman"/>
          <w:b/>
          <w:bCs/>
          <w:color w:val="auto"/>
          <w:sz w:val="28"/>
          <w:szCs w:val="28"/>
          <w:lang w:val="tr-TR"/>
        </w:rPr>
        <w:t>İ</w:t>
      </w:r>
      <w:r>
        <w:rPr>
          <w:rFonts w:ascii="Times New Roman" w:hAnsi="Times New Roman" w:cs="Times New Roman"/>
          <w:b/>
          <w:bCs/>
          <w:color w:val="auto"/>
          <w:sz w:val="28"/>
          <w:szCs w:val="28"/>
        </w:rPr>
        <w:t>L</w:t>
      </w:r>
      <w:r>
        <w:rPr>
          <w:rFonts w:ascii="Times New Roman" w:hAnsi="Times New Roman" w:cs="Times New Roman"/>
          <w:b/>
          <w:bCs/>
          <w:color w:val="auto"/>
          <w:sz w:val="28"/>
          <w:szCs w:val="28"/>
          <w:lang w:val="tr-TR"/>
        </w:rPr>
        <w:t>İ</w:t>
      </w:r>
    </w:p>
    <w:p w14:paraId="44F1F070"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lang w:val="az-Latn-AZ"/>
        </w:rPr>
        <w:t>2.1. Azərbaycan xarici ticarət dövriyyəsinin strukturu və inkişaf dinamikası</w:t>
      </w:r>
    </w:p>
    <w:p w14:paraId="10A1BF93"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2015–2024-cü illəri əhatə edən dövrdə Azərbaycanın xarici ticarət göstəriciləri dünya enerji bazarında baş verən qiymət dəyişmələri, beynəlxalq ticarət mühitinin transformasiyası və ölkədə iqtisadi diversifikasiya siyasətinin inkişaf mərhələləri ilə sıx əlaqədə formalaşmışdır. 2015-ci ildə ümumi ticarət dövriyyəsi 21,9 milyard ABŞ dolları səviyyəsində olmuş, dövriyyənin 58 faizini ixrac, 42 faizini isə idxal təşkil etmişdir. Növbəti illərdə müşahidə olunan dəyişikliklər Azərbaycanın ticarət strukturunda enerji sektorunun aparıcı rolunu təsdiqləmişdir.</w:t>
      </w:r>
    </w:p>
    <w:p w14:paraId="283F1770"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2016-cı ildə ixracın 13,5 milyard ABŞ dollarına yüksəlməsi və idxalın 8,5 milyard ABŞ dollarına enməsi xarici ticarət balansında 4,9 milyard dollarlıq müsbət saldo formalaşdırmışdır. Bu meyl milli valyutanın məzənnə korrektəsi və neft qiymətlərinin qismən bərpası ilə izah olunur. 2017–2019-cu illərdə ticarət dövriyyəsinin yüksəlməsi, xüsusilə 2018-də 30,9 milyard dollara çatması, Azərbaycan iqtisadiyyatında ixrac yönümlü artım dinamikasının davam etdiyini göstərmişdir. Bununla belə 2019-cu ildə idxalın artması nəticəsində xarici ticarət balansında fərq nisbətən azalmışdır ki, bu fakt istehlak mallarına və investisiya avadanlıqlarına artan tələbin göstəricisidir.</w:t>
      </w:r>
    </w:p>
    <w:p w14:paraId="1772DD8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2020-ci ildə pandemiyanın təsiri nəticəsində ticarət dövriyyəsi 24,4 milyard dollara qədər azalmış, ixrac 13,7 milyard ABŞ dollarına enmişdir. Bu dövrdə beynəlxalq ticarət məhdudiyyətləri və enerji bazarındakı volatillik ixracın azalmasına səbəb olmuşdur. 2021-ci ildən etibarən neft qiymətlərinin yüksəlməsi və bərpa olunmuş ticarət əlaqələri nəticəsində dövriyyə 33,9 milyard dollara çatmış, müsbət saldo 10,5 milyard dollar səviyyəsində qeydə alınmışdır.</w:t>
      </w:r>
    </w:p>
    <w:p w14:paraId="2CA98CF0"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2022-ci ildə qeydə alınan 52,7 milyard dollarlıq ticarət dövriyyəsi müstəqillik dövrünün ən yüksək göstəricilərindən biri olmuşdur. İxracın 38,1 milyard dollara yüksəlməsi ölkənin enerji sektorundakı qiymət artımlarından əldə etdiyi gəlirlərlə bağlıdır. 2023–2024-cü illərdə isə müəyyən azalma tendensiyası müşahidə olunmuşdur. 2024-də ticarət dövriyyəsinin 47,6 milyard dollara enməsi və ixracın 26,5 milyard dollara qədər azalması neft bazarındakı qiymət korreksiyası və idxalın artması ilə bağlı olmuşdur.</w:t>
      </w:r>
    </w:p>
    <w:p w14:paraId="7F90A78E"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Bu dövr üzrə ümumi dinamika göstərir ki, Azərbaycan xarici ticarətinin strukturunda enerji resursları həlledici yer tutur. İqtisadi siyasətin uzunmüddətli məqsədi qeyri-neft ixracının payının artırılması, idxalın texnoloji tərkibinin təkmilləşdirilməsi və ticarət balansının dayanıqlılığının təmin edilməsidir. Analiz olunan dövr Azərbaycanın iqtisadi sistemində xarici ticarətin həm iqtisadi artım, həm də maliyyə sabitliyi baxımından strateji əhəmiyyətini açıq şəkildə nümayiş etdirir.</w:t>
      </w:r>
    </w:p>
    <w:p w14:paraId="6B78E0A7" w14:textId="77777777" w:rsidR="001F6AF2" w:rsidRDefault="00000000">
      <w:pPr>
        <w:spacing w:after="0" w:line="360" w:lineRule="auto"/>
        <w:ind w:firstLine="709"/>
        <w:jc w:val="right"/>
        <w:rPr>
          <w:rFonts w:ascii="Times New Roman" w:hAnsi="Times New Roman" w:cs="Times New Roman"/>
          <w:b/>
          <w:bCs/>
          <w:sz w:val="28"/>
          <w:szCs w:val="28"/>
          <w:lang w:val="tr-TR"/>
        </w:rPr>
      </w:pPr>
      <w:r>
        <w:rPr>
          <w:rFonts w:ascii="Times New Roman" w:hAnsi="Times New Roman" w:cs="Times New Roman"/>
          <w:b/>
          <w:bCs/>
          <w:sz w:val="28"/>
          <w:szCs w:val="28"/>
          <w:lang w:val="tr-TR"/>
        </w:rPr>
        <w:t>Cədvəl 2.1</w:t>
      </w:r>
    </w:p>
    <w:p w14:paraId="174F606E" w14:textId="77777777" w:rsidR="001F6AF2" w:rsidRDefault="00000000">
      <w:pPr>
        <w:spacing w:after="0" w:line="360" w:lineRule="auto"/>
        <w:ind w:firstLine="709"/>
        <w:jc w:val="center"/>
        <w:rPr>
          <w:rFonts w:ascii="Times New Roman" w:hAnsi="Times New Roman" w:cs="Times New Roman"/>
          <w:b/>
          <w:bCs/>
          <w:sz w:val="28"/>
          <w:szCs w:val="28"/>
          <w:lang w:val="tr-TR"/>
        </w:rPr>
      </w:pPr>
      <w:r>
        <w:rPr>
          <w:rFonts w:ascii="Times New Roman" w:hAnsi="Times New Roman" w:cs="Times New Roman"/>
          <w:b/>
          <w:bCs/>
          <w:sz w:val="28"/>
          <w:szCs w:val="28"/>
          <w:lang w:val="tr-TR"/>
        </w:rPr>
        <w:t>Xarici ticarət dövriyyəsinin dinamikası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30"/>
        <w:gridCol w:w="1173"/>
        <w:gridCol w:w="1173"/>
        <w:gridCol w:w="1174"/>
        <w:gridCol w:w="1174"/>
        <w:gridCol w:w="1174"/>
        <w:gridCol w:w="1174"/>
        <w:gridCol w:w="1172"/>
      </w:tblGrid>
      <w:tr w:rsidR="001F6AF2" w14:paraId="172EFA3A" w14:textId="77777777">
        <w:trPr>
          <w:trHeight w:val="600"/>
        </w:trPr>
        <w:tc>
          <w:tcPr>
            <w:tcW w:w="605" w:type="pct"/>
            <w:vMerge w:val="restart"/>
            <w:vAlign w:val="center"/>
          </w:tcPr>
          <w:p w14:paraId="5B3315E1"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İllər</w:t>
            </w:r>
          </w:p>
        </w:tc>
        <w:tc>
          <w:tcPr>
            <w:tcW w:w="2512" w:type="pct"/>
            <w:gridSpan w:val="4"/>
            <w:vAlign w:val="center"/>
          </w:tcPr>
          <w:p w14:paraId="51DB423D"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Milyon ABŞ dolları ilə</w:t>
            </w:r>
          </w:p>
        </w:tc>
        <w:tc>
          <w:tcPr>
            <w:tcW w:w="1884" w:type="pct"/>
            <w:gridSpan w:val="3"/>
            <w:vAlign w:val="center"/>
          </w:tcPr>
          <w:p w14:paraId="6388EE68"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Əvvəlki ilə nisbətən faktiki qiymətlərlə, faizlə *)</w:t>
            </w:r>
          </w:p>
        </w:tc>
      </w:tr>
      <w:tr w:rsidR="001F6AF2" w14:paraId="0DF294A4" w14:textId="77777777">
        <w:trPr>
          <w:trHeight w:val="600"/>
        </w:trPr>
        <w:tc>
          <w:tcPr>
            <w:tcW w:w="605" w:type="pct"/>
            <w:vMerge/>
            <w:vAlign w:val="center"/>
          </w:tcPr>
          <w:p w14:paraId="004252E0" w14:textId="77777777" w:rsidR="001F6AF2" w:rsidRDefault="001F6AF2">
            <w:pPr>
              <w:spacing w:after="0" w:line="240" w:lineRule="auto"/>
              <w:rPr>
                <w:rFonts w:ascii="Times New Roman" w:eastAsia="Times New Roman" w:hAnsi="Times New Roman" w:cs="Times New Roman"/>
                <w:b/>
                <w:bCs/>
                <w:lang w:val="tr-TR" w:eastAsia="tr-TR"/>
              </w:rPr>
            </w:pPr>
          </w:p>
        </w:tc>
        <w:tc>
          <w:tcPr>
            <w:tcW w:w="628" w:type="pct"/>
            <w:vAlign w:val="center"/>
          </w:tcPr>
          <w:p w14:paraId="0B71F9A6"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ticarət dövriyyəsi</w:t>
            </w:r>
          </w:p>
        </w:tc>
        <w:tc>
          <w:tcPr>
            <w:tcW w:w="628" w:type="pct"/>
            <w:vAlign w:val="center"/>
          </w:tcPr>
          <w:p w14:paraId="2E831778"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 xml:space="preserve">idxal </w:t>
            </w:r>
          </w:p>
        </w:tc>
        <w:tc>
          <w:tcPr>
            <w:tcW w:w="628" w:type="pct"/>
            <w:vAlign w:val="center"/>
          </w:tcPr>
          <w:p w14:paraId="7628275B"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ixrac</w:t>
            </w:r>
          </w:p>
        </w:tc>
        <w:tc>
          <w:tcPr>
            <w:tcW w:w="628" w:type="pct"/>
            <w:vAlign w:val="center"/>
          </w:tcPr>
          <w:p w14:paraId="7D7AB7AB"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saldo</w:t>
            </w:r>
          </w:p>
        </w:tc>
        <w:tc>
          <w:tcPr>
            <w:tcW w:w="628" w:type="pct"/>
            <w:vAlign w:val="center"/>
          </w:tcPr>
          <w:p w14:paraId="67E5090A"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ticarət dövriyyəsi</w:t>
            </w:r>
          </w:p>
        </w:tc>
        <w:tc>
          <w:tcPr>
            <w:tcW w:w="628" w:type="pct"/>
            <w:vAlign w:val="center"/>
          </w:tcPr>
          <w:p w14:paraId="5898B074"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idxal</w:t>
            </w:r>
          </w:p>
        </w:tc>
        <w:tc>
          <w:tcPr>
            <w:tcW w:w="627" w:type="pct"/>
            <w:vAlign w:val="center"/>
          </w:tcPr>
          <w:p w14:paraId="74B63A96"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ixrac</w:t>
            </w:r>
          </w:p>
        </w:tc>
      </w:tr>
      <w:tr w:rsidR="001F6AF2" w14:paraId="749B2B17" w14:textId="77777777">
        <w:trPr>
          <w:trHeight w:val="300"/>
        </w:trPr>
        <w:tc>
          <w:tcPr>
            <w:tcW w:w="605" w:type="pct"/>
            <w:vAlign w:val="bottom"/>
          </w:tcPr>
          <w:p w14:paraId="2E3D0CB4"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2015</w:t>
            </w:r>
          </w:p>
        </w:tc>
        <w:tc>
          <w:tcPr>
            <w:tcW w:w="628" w:type="pct"/>
            <w:vAlign w:val="bottom"/>
          </w:tcPr>
          <w:p w14:paraId="771D26E9"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21.945,8</w:t>
            </w:r>
          </w:p>
        </w:tc>
        <w:tc>
          <w:tcPr>
            <w:tcW w:w="628" w:type="pct"/>
            <w:vAlign w:val="bottom"/>
          </w:tcPr>
          <w:p w14:paraId="346AAA76"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9.216,7</w:t>
            </w:r>
          </w:p>
        </w:tc>
        <w:tc>
          <w:tcPr>
            <w:tcW w:w="628" w:type="pct"/>
            <w:vAlign w:val="bottom"/>
          </w:tcPr>
          <w:p w14:paraId="7B1A4768"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12.729,1</w:t>
            </w:r>
          </w:p>
        </w:tc>
        <w:tc>
          <w:tcPr>
            <w:tcW w:w="628" w:type="pct"/>
            <w:vAlign w:val="bottom"/>
          </w:tcPr>
          <w:p w14:paraId="3A32591E"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3.512,4</w:t>
            </w:r>
          </w:p>
        </w:tc>
        <w:tc>
          <w:tcPr>
            <w:tcW w:w="628" w:type="pct"/>
            <w:noWrap/>
            <w:vAlign w:val="bottom"/>
          </w:tcPr>
          <w:p w14:paraId="3891A2F3"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104,3</w:t>
            </w:r>
          </w:p>
        </w:tc>
        <w:tc>
          <w:tcPr>
            <w:tcW w:w="628" w:type="pct"/>
            <w:noWrap/>
            <w:vAlign w:val="bottom"/>
          </w:tcPr>
          <w:p w14:paraId="46250FF4"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99,5</w:t>
            </w:r>
          </w:p>
        </w:tc>
        <w:tc>
          <w:tcPr>
            <w:tcW w:w="627" w:type="pct"/>
            <w:noWrap/>
            <w:vAlign w:val="bottom"/>
          </w:tcPr>
          <w:p w14:paraId="16E1EF04"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106,3</w:t>
            </w:r>
          </w:p>
        </w:tc>
      </w:tr>
      <w:tr w:rsidR="001F6AF2" w14:paraId="2D9EABCD" w14:textId="77777777">
        <w:trPr>
          <w:trHeight w:val="300"/>
        </w:trPr>
        <w:tc>
          <w:tcPr>
            <w:tcW w:w="605" w:type="pct"/>
            <w:vAlign w:val="bottom"/>
          </w:tcPr>
          <w:p w14:paraId="7FD10BDC"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2016</w:t>
            </w:r>
          </w:p>
        </w:tc>
        <w:tc>
          <w:tcPr>
            <w:tcW w:w="628" w:type="pct"/>
            <w:vAlign w:val="bottom"/>
          </w:tcPr>
          <w:p w14:paraId="11C0F687"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21.946,7</w:t>
            </w:r>
          </w:p>
        </w:tc>
        <w:tc>
          <w:tcPr>
            <w:tcW w:w="628" w:type="pct"/>
            <w:vAlign w:val="bottom"/>
          </w:tcPr>
          <w:p w14:paraId="32BE5968"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8.489,1</w:t>
            </w:r>
          </w:p>
        </w:tc>
        <w:tc>
          <w:tcPr>
            <w:tcW w:w="628" w:type="pct"/>
            <w:vAlign w:val="bottom"/>
          </w:tcPr>
          <w:p w14:paraId="4B78C5BE"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13.457,6</w:t>
            </w:r>
          </w:p>
        </w:tc>
        <w:tc>
          <w:tcPr>
            <w:tcW w:w="628" w:type="pct"/>
            <w:vAlign w:val="bottom"/>
          </w:tcPr>
          <w:p w14:paraId="7346F77E"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4.968,5</w:t>
            </w:r>
          </w:p>
        </w:tc>
        <w:tc>
          <w:tcPr>
            <w:tcW w:w="628" w:type="pct"/>
            <w:noWrap/>
            <w:vAlign w:val="bottom"/>
          </w:tcPr>
          <w:p w14:paraId="04918514"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112,9</w:t>
            </w:r>
          </w:p>
        </w:tc>
        <w:tc>
          <w:tcPr>
            <w:tcW w:w="628" w:type="pct"/>
            <w:noWrap/>
            <w:vAlign w:val="bottom"/>
          </w:tcPr>
          <w:p w14:paraId="5DAAFDBF"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89,6</w:t>
            </w:r>
          </w:p>
        </w:tc>
        <w:tc>
          <w:tcPr>
            <w:tcW w:w="627" w:type="pct"/>
            <w:noWrap/>
            <w:vAlign w:val="bottom"/>
          </w:tcPr>
          <w:p w14:paraId="03D56C0C"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129,7</w:t>
            </w:r>
          </w:p>
        </w:tc>
      </w:tr>
      <w:tr w:rsidR="001F6AF2" w14:paraId="63E8B43E" w14:textId="77777777">
        <w:trPr>
          <w:trHeight w:val="300"/>
        </w:trPr>
        <w:tc>
          <w:tcPr>
            <w:tcW w:w="605" w:type="pct"/>
            <w:vAlign w:val="bottom"/>
          </w:tcPr>
          <w:p w14:paraId="3B31AE17"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2017</w:t>
            </w:r>
          </w:p>
        </w:tc>
        <w:tc>
          <w:tcPr>
            <w:tcW w:w="628" w:type="pct"/>
            <w:vAlign w:val="bottom"/>
          </w:tcPr>
          <w:p w14:paraId="7BF0814B"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24.103,3</w:t>
            </w:r>
          </w:p>
        </w:tc>
        <w:tc>
          <w:tcPr>
            <w:tcW w:w="628" w:type="pct"/>
            <w:vAlign w:val="bottom"/>
          </w:tcPr>
          <w:p w14:paraId="549D0B63"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8.783,3</w:t>
            </w:r>
          </w:p>
        </w:tc>
        <w:tc>
          <w:tcPr>
            <w:tcW w:w="628" w:type="pct"/>
            <w:vAlign w:val="bottom"/>
          </w:tcPr>
          <w:p w14:paraId="27CAB998"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15.320,0</w:t>
            </w:r>
          </w:p>
        </w:tc>
        <w:tc>
          <w:tcPr>
            <w:tcW w:w="628" w:type="pct"/>
            <w:vAlign w:val="bottom"/>
          </w:tcPr>
          <w:p w14:paraId="273ED3E3"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6.536,7</w:t>
            </w:r>
          </w:p>
        </w:tc>
        <w:tc>
          <w:tcPr>
            <w:tcW w:w="628" w:type="pct"/>
            <w:noWrap/>
            <w:vAlign w:val="bottom"/>
          </w:tcPr>
          <w:p w14:paraId="305372DF"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85,2</w:t>
            </w:r>
          </w:p>
        </w:tc>
        <w:tc>
          <w:tcPr>
            <w:tcW w:w="628" w:type="pct"/>
            <w:noWrap/>
            <w:vAlign w:val="bottom"/>
          </w:tcPr>
          <w:p w14:paraId="0C6AB2D3"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83,8</w:t>
            </w:r>
          </w:p>
        </w:tc>
        <w:tc>
          <w:tcPr>
            <w:tcW w:w="627" w:type="pct"/>
            <w:noWrap/>
            <w:vAlign w:val="bottom"/>
          </w:tcPr>
          <w:p w14:paraId="745B0C03"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86,1</w:t>
            </w:r>
          </w:p>
        </w:tc>
      </w:tr>
      <w:tr w:rsidR="001F6AF2" w14:paraId="5B490894" w14:textId="77777777">
        <w:trPr>
          <w:trHeight w:val="300"/>
        </w:trPr>
        <w:tc>
          <w:tcPr>
            <w:tcW w:w="605" w:type="pct"/>
            <w:vAlign w:val="bottom"/>
          </w:tcPr>
          <w:p w14:paraId="715790C0"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2018</w:t>
            </w:r>
          </w:p>
        </w:tc>
        <w:tc>
          <w:tcPr>
            <w:tcW w:w="628" w:type="pct"/>
            <w:vAlign w:val="bottom"/>
          </w:tcPr>
          <w:p w14:paraId="47591AF9"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30.955,0</w:t>
            </w:r>
          </w:p>
        </w:tc>
        <w:tc>
          <w:tcPr>
            <w:tcW w:w="628" w:type="pct"/>
            <w:vAlign w:val="bottom"/>
          </w:tcPr>
          <w:p w14:paraId="406C9ACC"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11.465,9</w:t>
            </w:r>
          </w:p>
        </w:tc>
        <w:tc>
          <w:tcPr>
            <w:tcW w:w="628" w:type="pct"/>
            <w:vAlign w:val="bottom"/>
          </w:tcPr>
          <w:p w14:paraId="217B63DF"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19.489,1</w:t>
            </w:r>
          </w:p>
        </w:tc>
        <w:tc>
          <w:tcPr>
            <w:tcW w:w="628" w:type="pct"/>
            <w:vAlign w:val="bottom"/>
          </w:tcPr>
          <w:p w14:paraId="15B31ABC"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8.023,2</w:t>
            </w:r>
          </w:p>
        </w:tc>
        <w:tc>
          <w:tcPr>
            <w:tcW w:w="628" w:type="pct"/>
            <w:vAlign w:val="bottom"/>
          </w:tcPr>
          <w:p w14:paraId="13156508"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96,1</w:t>
            </w:r>
          </w:p>
        </w:tc>
        <w:tc>
          <w:tcPr>
            <w:tcW w:w="628" w:type="pct"/>
            <w:vAlign w:val="bottom"/>
          </w:tcPr>
          <w:p w14:paraId="36D1A95E"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100,2</w:t>
            </w:r>
          </w:p>
        </w:tc>
        <w:tc>
          <w:tcPr>
            <w:tcW w:w="627" w:type="pct"/>
            <w:vAlign w:val="bottom"/>
          </w:tcPr>
          <w:p w14:paraId="245B3D3D"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93,8</w:t>
            </w:r>
          </w:p>
        </w:tc>
      </w:tr>
      <w:tr w:rsidR="001F6AF2" w14:paraId="3E6816A9" w14:textId="77777777">
        <w:trPr>
          <w:trHeight w:val="300"/>
        </w:trPr>
        <w:tc>
          <w:tcPr>
            <w:tcW w:w="605" w:type="pct"/>
            <w:vAlign w:val="bottom"/>
          </w:tcPr>
          <w:p w14:paraId="1BDAF12E"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2019</w:t>
            </w:r>
          </w:p>
        </w:tc>
        <w:tc>
          <w:tcPr>
            <w:tcW w:w="628" w:type="pct"/>
            <w:vAlign w:val="bottom"/>
          </w:tcPr>
          <w:p w14:paraId="39633C44"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33.302,7</w:t>
            </w:r>
          </w:p>
        </w:tc>
        <w:tc>
          <w:tcPr>
            <w:tcW w:w="628" w:type="pct"/>
            <w:vAlign w:val="bottom"/>
          </w:tcPr>
          <w:p w14:paraId="2F0BCC47"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13.667,5</w:t>
            </w:r>
          </w:p>
        </w:tc>
        <w:tc>
          <w:tcPr>
            <w:tcW w:w="628" w:type="pct"/>
            <w:vAlign w:val="bottom"/>
          </w:tcPr>
          <w:p w14:paraId="72A895E2"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19.635,2</w:t>
            </w:r>
          </w:p>
        </w:tc>
        <w:tc>
          <w:tcPr>
            <w:tcW w:w="628" w:type="pct"/>
            <w:vAlign w:val="bottom"/>
          </w:tcPr>
          <w:p w14:paraId="488AF3FD"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5.967,7</w:t>
            </w:r>
          </w:p>
        </w:tc>
        <w:tc>
          <w:tcPr>
            <w:tcW w:w="628" w:type="pct"/>
            <w:vAlign w:val="bottom"/>
          </w:tcPr>
          <w:p w14:paraId="15BF188A"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96,8</w:t>
            </w:r>
          </w:p>
        </w:tc>
        <w:tc>
          <w:tcPr>
            <w:tcW w:w="628" w:type="pct"/>
            <w:vAlign w:val="bottom"/>
          </w:tcPr>
          <w:p w14:paraId="5F1D21A0"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93,5</w:t>
            </w:r>
          </w:p>
        </w:tc>
        <w:tc>
          <w:tcPr>
            <w:tcW w:w="627" w:type="pct"/>
            <w:vAlign w:val="bottom"/>
          </w:tcPr>
          <w:p w14:paraId="7B9FD981"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98,8</w:t>
            </w:r>
          </w:p>
        </w:tc>
      </w:tr>
      <w:tr w:rsidR="001F6AF2" w14:paraId="5D1017D8" w14:textId="77777777">
        <w:trPr>
          <w:trHeight w:val="300"/>
        </w:trPr>
        <w:tc>
          <w:tcPr>
            <w:tcW w:w="605" w:type="pct"/>
            <w:vAlign w:val="bottom"/>
          </w:tcPr>
          <w:p w14:paraId="3A3A2158"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2020</w:t>
            </w:r>
          </w:p>
        </w:tc>
        <w:tc>
          <w:tcPr>
            <w:tcW w:w="628" w:type="pct"/>
            <w:vAlign w:val="bottom"/>
          </w:tcPr>
          <w:p w14:paraId="631DFF8A"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24.464,6</w:t>
            </w:r>
          </w:p>
        </w:tc>
        <w:tc>
          <w:tcPr>
            <w:tcW w:w="628" w:type="pct"/>
            <w:vAlign w:val="bottom"/>
          </w:tcPr>
          <w:p w14:paraId="10E1316B"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10.732,0</w:t>
            </w:r>
          </w:p>
        </w:tc>
        <w:tc>
          <w:tcPr>
            <w:tcW w:w="628" w:type="pct"/>
            <w:vAlign w:val="bottom"/>
          </w:tcPr>
          <w:p w14:paraId="2A319902"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13.732,6</w:t>
            </w:r>
          </w:p>
        </w:tc>
        <w:tc>
          <w:tcPr>
            <w:tcW w:w="628" w:type="pct"/>
            <w:vAlign w:val="bottom"/>
          </w:tcPr>
          <w:p w14:paraId="4BC7B1F9"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3.000,6</w:t>
            </w:r>
          </w:p>
        </w:tc>
        <w:tc>
          <w:tcPr>
            <w:tcW w:w="628" w:type="pct"/>
            <w:vAlign w:val="bottom"/>
          </w:tcPr>
          <w:p w14:paraId="47038BE7"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72,7</w:t>
            </w:r>
          </w:p>
        </w:tc>
        <w:tc>
          <w:tcPr>
            <w:tcW w:w="628" w:type="pct"/>
            <w:vAlign w:val="bottom"/>
          </w:tcPr>
          <w:p w14:paraId="6E1AECB7"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64,0</w:t>
            </w:r>
          </w:p>
        </w:tc>
        <w:tc>
          <w:tcPr>
            <w:tcW w:w="627" w:type="pct"/>
            <w:vAlign w:val="bottom"/>
          </w:tcPr>
          <w:p w14:paraId="19F8137B"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78,8</w:t>
            </w:r>
          </w:p>
        </w:tc>
      </w:tr>
      <w:tr w:rsidR="001F6AF2" w14:paraId="7D2EB2DF" w14:textId="77777777">
        <w:trPr>
          <w:trHeight w:val="300"/>
        </w:trPr>
        <w:tc>
          <w:tcPr>
            <w:tcW w:w="605" w:type="pct"/>
            <w:vAlign w:val="bottom"/>
          </w:tcPr>
          <w:p w14:paraId="4D6FA238"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2021</w:t>
            </w:r>
          </w:p>
        </w:tc>
        <w:tc>
          <w:tcPr>
            <w:tcW w:w="628" w:type="pct"/>
            <w:vAlign w:val="bottom"/>
          </w:tcPr>
          <w:p w14:paraId="4EAF15A2"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33.911,2</w:t>
            </w:r>
          </w:p>
        </w:tc>
        <w:tc>
          <w:tcPr>
            <w:tcW w:w="628" w:type="pct"/>
            <w:vAlign w:val="bottom"/>
          </w:tcPr>
          <w:p w14:paraId="2DDDD925"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11.703,2</w:t>
            </w:r>
          </w:p>
        </w:tc>
        <w:tc>
          <w:tcPr>
            <w:tcW w:w="628" w:type="pct"/>
            <w:vAlign w:val="bottom"/>
          </w:tcPr>
          <w:p w14:paraId="32E02C7F"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22.208,0</w:t>
            </w:r>
          </w:p>
        </w:tc>
        <w:tc>
          <w:tcPr>
            <w:tcW w:w="628" w:type="pct"/>
            <w:vAlign w:val="bottom"/>
          </w:tcPr>
          <w:p w14:paraId="5D17C59F"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10.504,8</w:t>
            </w:r>
          </w:p>
        </w:tc>
        <w:tc>
          <w:tcPr>
            <w:tcW w:w="628" w:type="pct"/>
            <w:vAlign w:val="bottom"/>
          </w:tcPr>
          <w:p w14:paraId="74055B85"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87,2</w:t>
            </w:r>
          </w:p>
        </w:tc>
        <w:tc>
          <w:tcPr>
            <w:tcW w:w="628" w:type="pct"/>
            <w:vAlign w:val="bottom"/>
          </w:tcPr>
          <w:p w14:paraId="0C94F9B3"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90,0</w:t>
            </w:r>
          </w:p>
        </w:tc>
        <w:tc>
          <w:tcPr>
            <w:tcW w:w="627" w:type="pct"/>
            <w:vAlign w:val="bottom"/>
          </w:tcPr>
          <w:p w14:paraId="4A3C0F95"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85,0</w:t>
            </w:r>
          </w:p>
        </w:tc>
      </w:tr>
      <w:tr w:rsidR="001F6AF2" w14:paraId="0DAB0A15" w14:textId="77777777">
        <w:trPr>
          <w:trHeight w:val="300"/>
        </w:trPr>
        <w:tc>
          <w:tcPr>
            <w:tcW w:w="605" w:type="pct"/>
            <w:vAlign w:val="bottom"/>
          </w:tcPr>
          <w:p w14:paraId="03911CDC"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2022</w:t>
            </w:r>
          </w:p>
        </w:tc>
        <w:tc>
          <w:tcPr>
            <w:tcW w:w="628" w:type="pct"/>
            <w:vAlign w:val="bottom"/>
          </w:tcPr>
          <w:p w14:paraId="710CE389"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52.686,5</w:t>
            </w:r>
          </w:p>
        </w:tc>
        <w:tc>
          <w:tcPr>
            <w:tcW w:w="628" w:type="pct"/>
            <w:vAlign w:val="bottom"/>
          </w:tcPr>
          <w:p w14:paraId="1681E0C7"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14.539,8</w:t>
            </w:r>
          </w:p>
        </w:tc>
        <w:tc>
          <w:tcPr>
            <w:tcW w:w="628" w:type="pct"/>
            <w:vAlign w:val="bottom"/>
          </w:tcPr>
          <w:p w14:paraId="0F98FC40"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38.146,7</w:t>
            </w:r>
          </w:p>
        </w:tc>
        <w:tc>
          <w:tcPr>
            <w:tcW w:w="628" w:type="pct"/>
            <w:vAlign w:val="bottom"/>
          </w:tcPr>
          <w:p w14:paraId="7B11E170"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23.606,9</w:t>
            </w:r>
          </w:p>
        </w:tc>
        <w:tc>
          <w:tcPr>
            <w:tcW w:w="628" w:type="pct"/>
            <w:vAlign w:val="bottom"/>
          </w:tcPr>
          <w:p w14:paraId="78027CBF"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103,3</w:t>
            </w:r>
          </w:p>
        </w:tc>
        <w:tc>
          <w:tcPr>
            <w:tcW w:w="628" w:type="pct"/>
            <w:vAlign w:val="bottom"/>
          </w:tcPr>
          <w:p w14:paraId="12789D5B"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101,7</w:t>
            </w:r>
          </w:p>
        </w:tc>
        <w:tc>
          <w:tcPr>
            <w:tcW w:w="627" w:type="pct"/>
            <w:vAlign w:val="bottom"/>
          </w:tcPr>
          <w:p w14:paraId="38396A2D"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104,2</w:t>
            </w:r>
          </w:p>
        </w:tc>
      </w:tr>
      <w:tr w:rsidR="001F6AF2" w14:paraId="4223B469" w14:textId="77777777">
        <w:trPr>
          <w:trHeight w:val="300"/>
        </w:trPr>
        <w:tc>
          <w:tcPr>
            <w:tcW w:w="605" w:type="pct"/>
            <w:vAlign w:val="bottom"/>
          </w:tcPr>
          <w:p w14:paraId="75AE70E9"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2023</w:t>
            </w:r>
          </w:p>
        </w:tc>
        <w:tc>
          <w:tcPr>
            <w:tcW w:w="628" w:type="pct"/>
            <w:vAlign w:val="bottom"/>
          </w:tcPr>
          <w:p w14:paraId="402E9E12"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51.183,9</w:t>
            </w:r>
          </w:p>
        </w:tc>
        <w:tc>
          <w:tcPr>
            <w:tcW w:w="628" w:type="pct"/>
            <w:vAlign w:val="bottom"/>
          </w:tcPr>
          <w:p w14:paraId="5772E317"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17.285,3</w:t>
            </w:r>
          </w:p>
        </w:tc>
        <w:tc>
          <w:tcPr>
            <w:tcW w:w="628" w:type="pct"/>
            <w:vAlign w:val="bottom"/>
          </w:tcPr>
          <w:p w14:paraId="6D7EDF4A"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33.898,6</w:t>
            </w:r>
          </w:p>
        </w:tc>
        <w:tc>
          <w:tcPr>
            <w:tcW w:w="628" w:type="pct"/>
            <w:vAlign w:val="bottom"/>
          </w:tcPr>
          <w:p w14:paraId="37491657"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16.613,3</w:t>
            </w:r>
          </w:p>
        </w:tc>
        <w:tc>
          <w:tcPr>
            <w:tcW w:w="628" w:type="pct"/>
            <w:vAlign w:val="bottom"/>
          </w:tcPr>
          <w:p w14:paraId="09EAD635"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91,6</w:t>
            </w:r>
          </w:p>
        </w:tc>
        <w:tc>
          <w:tcPr>
            <w:tcW w:w="628" w:type="pct"/>
            <w:vAlign w:val="bottom"/>
          </w:tcPr>
          <w:p w14:paraId="1128777D"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101,9</w:t>
            </w:r>
          </w:p>
        </w:tc>
        <w:tc>
          <w:tcPr>
            <w:tcW w:w="627" w:type="pct"/>
            <w:vAlign w:val="bottom"/>
          </w:tcPr>
          <w:p w14:paraId="587CADC8"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87,7</w:t>
            </w:r>
          </w:p>
        </w:tc>
      </w:tr>
      <w:tr w:rsidR="001F6AF2" w14:paraId="173D8644" w14:textId="77777777">
        <w:trPr>
          <w:trHeight w:val="300"/>
        </w:trPr>
        <w:tc>
          <w:tcPr>
            <w:tcW w:w="605" w:type="pct"/>
            <w:vAlign w:val="bottom"/>
          </w:tcPr>
          <w:p w14:paraId="6ECD096B" w14:textId="77777777" w:rsidR="001F6AF2" w:rsidRDefault="00000000">
            <w:pPr>
              <w:spacing w:after="0" w:line="240" w:lineRule="auto"/>
              <w:jc w:val="center"/>
              <w:rPr>
                <w:rFonts w:ascii="Times New Roman" w:eastAsia="Times New Roman" w:hAnsi="Times New Roman" w:cs="Times New Roman"/>
                <w:b/>
                <w:bCs/>
                <w:lang w:val="tr-TR" w:eastAsia="tr-TR"/>
              </w:rPr>
            </w:pPr>
            <w:r>
              <w:rPr>
                <w:rFonts w:ascii="Times New Roman" w:eastAsia="Times New Roman" w:hAnsi="Times New Roman" w:cs="Times New Roman"/>
                <w:b/>
                <w:bCs/>
                <w:lang w:val="tr-TR" w:eastAsia="tr-TR"/>
              </w:rPr>
              <w:t>2024</w:t>
            </w:r>
          </w:p>
        </w:tc>
        <w:tc>
          <w:tcPr>
            <w:tcW w:w="628" w:type="pct"/>
            <w:vAlign w:val="bottom"/>
          </w:tcPr>
          <w:p w14:paraId="4AEF2F94"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47.612,1</w:t>
            </w:r>
          </w:p>
        </w:tc>
        <w:tc>
          <w:tcPr>
            <w:tcW w:w="628" w:type="pct"/>
            <w:vAlign w:val="bottom"/>
          </w:tcPr>
          <w:p w14:paraId="55011535"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21.058,0</w:t>
            </w:r>
          </w:p>
        </w:tc>
        <w:tc>
          <w:tcPr>
            <w:tcW w:w="628" w:type="pct"/>
            <w:vAlign w:val="bottom"/>
          </w:tcPr>
          <w:p w14:paraId="2597874B"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26.554,1</w:t>
            </w:r>
          </w:p>
        </w:tc>
        <w:tc>
          <w:tcPr>
            <w:tcW w:w="628" w:type="pct"/>
            <w:vAlign w:val="bottom"/>
          </w:tcPr>
          <w:p w14:paraId="412E1772"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5.496,1</w:t>
            </w:r>
          </w:p>
        </w:tc>
        <w:tc>
          <w:tcPr>
            <w:tcW w:w="628" w:type="pct"/>
            <w:vAlign w:val="bottom"/>
          </w:tcPr>
          <w:p w14:paraId="20464A08"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92,6</w:t>
            </w:r>
          </w:p>
        </w:tc>
        <w:tc>
          <w:tcPr>
            <w:tcW w:w="628" w:type="pct"/>
            <w:vAlign w:val="bottom"/>
          </w:tcPr>
          <w:p w14:paraId="4392D1AC"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103,1</w:t>
            </w:r>
          </w:p>
        </w:tc>
        <w:tc>
          <w:tcPr>
            <w:tcW w:w="627" w:type="pct"/>
            <w:vAlign w:val="bottom"/>
          </w:tcPr>
          <w:p w14:paraId="7282993C" w14:textId="77777777" w:rsidR="001F6AF2" w:rsidRDefault="00000000">
            <w:pPr>
              <w:spacing w:after="0" w:line="240" w:lineRule="auto"/>
              <w:rPr>
                <w:rFonts w:ascii="Times New Roman" w:eastAsia="Times New Roman" w:hAnsi="Times New Roman" w:cs="Times New Roman"/>
                <w:lang w:val="tr-TR" w:eastAsia="tr-TR"/>
              </w:rPr>
            </w:pPr>
            <w:r>
              <w:rPr>
                <w:rFonts w:ascii="Times New Roman" w:eastAsia="Times New Roman" w:hAnsi="Times New Roman" w:cs="Times New Roman"/>
                <w:lang w:val="tr-TR" w:eastAsia="tr-TR"/>
              </w:rPr>
              <w:t>87,2</w:t>
            </w:r>
          </w:p>
        </w:tc>
      </w:tr>
    </w:tbl>
    <w:p w14:paraId="2E548EB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b/>
          <w:bCs/>
          <w:sz w:val="28"/>
          <w:szCs w:val="28"/>
          <w:lang w:val="tr-TR"/>
        </w:rPr>
        <w:t>Mənbə:</w:t>
      </w:r>
      <w:r>
        <w:rPr>
          <w:rFonts w:ascii="Times New Roman" w:hAnsi="Times New Roman" w:cs="Times New Roman"/>
          <w:sz w:val="28"/>
          <w:szCs w:val="28"/>
          <w:lang w:val="tr-TR"/>
        </w:rPr>
        <w:t xml:space="preserve"> https://www.stat.gov.az/source/trade/</w:t>
      </w:r>
    </w:p>
    <w:p w14:paraId="7CF4865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2015–2024-cü illər üzrə ölkələr kəsiyində formalaşan göstəricilər Azərbaycanın xarici ticarət coğrafiyasının həm konsentrasiyasını, həm də tədricən şaxələnməsini əks etdirir və ticarət dövriyyəsinin strukturunda İtaliyanın, Türkiyənin, Rusiyanın və Çinin xüsusi çəkisinin artım dinamikası ilə seçilir. Bu onillikdə əsas tərəfdaş ölkələr üzrə dövriyyənin həcmi enerji resurslarının qiymət trayektoriyası, nəqliyyat-logistika marşrutlarının transformasiyası və qeyri-neft sektorunun mərhələli inkişafı fonunda formalaşmışdır.​</w:t>
      </w:r>
    </w:p>
    <w:p w14:paraId="4BD2420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İtaliya ilə ticarət dövriyyəsi 2015-ci ildə təxminən 2,8 milyard ABŞ dollarından 2021-ci ildə 9,7 milyard dollara, 2022-ci ildə isə 18,1 milyard dollara qədər yüksəlmiş, bu artım əsasən xam neft və qaz kondensatının yüksək qiymətlərlə ixracı hesabına təmin olunmuşdur. 2023 və 2024-cü illərdə göstəricinin 15,7 və 11,4 milyard dollara enməsi qlobal enerji qiymətlərinin korreksiyası ilə bağlı olmuş, lakin İtaliya yenə də Azərbaycanın əsas ticarət tərəfdaşı statusunu qorumuşdur. İtaliya ilə ticarət əlaqələri Azərbaycanın enerji ixracına maksimal dərəcədə bağlı olan, kəskin dalğalanma riskləri daşıyan, lakin yüksək həcmli strateji istiqamət kimi xarakterizə edilir.​</w:t>
      </w:r>
    </w:p>
    <w:p w14:paraId="5C3B9D3F"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Türkiyə ilə ticarət dövriyyəsi dövr ərzində davamlı artım xətti nümayiş etdirir və əməkdaşlıq həm enerji, həm də qeyri-neft sektorlarını əhatə edən daha balanslı strukturla seçilir. 2015-ci ildə 2,65 milyard dollar olan göstərici 2019-cu ildə 4,51 milyard dollara, 2023-cü ildə isə 7,65 milyard dollara çatmış, 2024-cü ildə 6,13 milyard dollar səviyyəsində formalaşmışdır ki, bu da Türkiyənin regional iqtisadi inteqrasiyada, xüsusilə tranzit, sənaye kooperasiyası və aqrar məhsullar ticarətində əsas tərəfdaş mövqeyini təsdiq edir. Türkiyə ilə ticarət coğrafiyasının spesifik xüsusiyyəti ondan ibarətdir ki, bu istiqamətdə həm enerji daşıyıcıları, həm də emal sənayesi, kənd təsərrüfatı və istehlak malları üzrə qarşılıqlı axınların payı nəzərəçarpacaq dərəcədə yüksəkdir.​</w:t>
      </w:r>
    </w:p>
    <w:p w14:paraId="760C552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Rusiya ilə ticarət dövriyyəsi bütövlükdə yüksələn dinamika nümayiş etdirir və xüsusilə idxal komponentinin çəkisi baxımından mühüm əhəmiyyətə malikdir. 2015-ci ildə 1,86 milyard dollar olan dövriyyə 2019-cu ildə 3,02 milyard dollara, 2023-cü ildə 4,36 milyard dollara, 2024-cü ildə isə 4,80 milyard dollara yüksəlmiş, bu artım əsasən ərzaq məhsulları, sənaye təchizatı, maşın və avadanlıq tədarükü ilə əlaqələnmişdir. Rusiya ilə iqtisadi əlaqələr idxal yönümlü struktur saxladığından, ticarət balansında bu xətt üzrə kəsir formalaşsa da, ərzaq təhlükəsizliyi, enerji avadanlıqları və infrastruktur təchizatı baxımından qarşılıqlı asılılıq yüksək olaraq qalır.​</w:t>
      </w:r>
    </w:p>
    <w:p w14:paraId="522B75C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Çinlə ticarət dövriyyəsinin 2015-ci ildə 565 milyon dollardan 2019-cu ildə 2,18 milyard dollara, 2024-cü ildə isə 3,74 milyard dollara yüksəlməsi Azərbaycanın Asiya istiqamətli iqtisadi vektorunun güclənməsini nümayiş etdirir. Çinin idxalda aparıcı mövqeyə yüksəlməsi, xüsusilə 2024-cü ildə ümumi idxalın təxminən beşdə birinin məhz bu ölkənin payına düşməsi sənaye, tikinti, elektronika və nəqliyyat vasitələri üzrə tədarükün strukturunda dərin texnoloji asılılığın formalaşdığını göstərir. Bu xətt üzrə artım Zəngəzur dəhlizi konsepsiyası və Orta Dəhliz layihələri fonunda gələcəkdə logistika və istehsal kooperasiyası baxımından geoiqtisadi əhəmiyyət daşıyan istiqamət kimi qiymətləndirilir.​</w:t>
      </w:r>
    </w:p>
    <w:p w14:paraId="685277E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ABŞ, Almaniya, İsrail, Hindistan, Gürcüstan və Böyük Britaniya ilə ticarət dövriyyəsi İtaliya, Türkiyə, Rusiya və Çinlə müqayisədə daha aşağı həcm nümayiş etdirsə də, struktur baxımından şaxələnmənin və qeyri-neft sektorunun inkişafının əhəmiyyətli göstəricisi kimi çıxış edir. ABŞ və Almaniya daha çox yüksək texnoloji avadanlıq, sənaye məhsulları və xidmətlərlə, İsrail və Hindistan isə enerji məhsullarının alıcısı olmaqla yanaşı kimya, kənd təsərrüfatı və farmasevtika üzrə əlaqələrlə seçilir. Gürcüstanla ticarət dövriyyəsi tranzit-funksional xarakter daşıyır və nəqliyyat-kommunikasiya dəhlizlərinin rentabelliyinə birbaşa təsir göstərən regional platforma rolunu möhkəmləndirir.​</w:t>
      </w:r>
    </w:p>
    <w:p w14:paraId="3ECF01F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2015–2024-cü illərdə xarici ticarətin coğrafi strukturu göstərir ki, Azərbaycan üçün bir tərəfdən Avropa İttifaqı, xüsusilə də İtaliya enerji ixracının əsas istiqaməti kimi qalır, digər tərəfdən Türkiyə, Rusiya və Çin vasitəsilə regiondaxili və Avrasiya məkanlı inteqrasiya güclənir. Ticarət tərəfdaşlarının bu cür konfiqurasiyası enerji sektorundan asılılıq risklərini tam aradan qaldırmasa da, qeyri-neft ixracının genişləndirilməsi, texnoloji idxalın artırılması və tranzit-logistika potensialının reallaşdırılması üçün çoxvektorlu platforma formalaşdırır. Bu konfiqurasiya növbəti mərhələdə ticarət siyasətinin hədəflənməsi, tarif və qeyri-tarif alətlərinin optimallaşdırılması, həmçinin yeni bazar diversifikasiyası strategiyalarının işlənməsi üçün etibarlı empirik baza yaradır.</w:t>
      </w:r>
    </w:p>
    <w:p w14:paraId="268AE574" w14:textId="77777777" w:rsidR="001F6AF2" w:rsidRDefault="001F6AF2">
      <w:pPr>
        <w:spacing w:after="0" w:line="360" w:lineRule="auto"/>
        <w:ind w:firstLine="709"/>
        <w:jc w:val="both"/>
        <w:rPr>
          <w:rFonts w:ascii="Times New Roman" w:hAnsi="Times New Roman" w:cs="Times New Roman"/>
          <w:sz w:val="28"/>
          <w:szCs w:val="28"/>
          <w:lang w:val="tr-TR"/>
        </w:rPr>
      </w:pPr>
    </w:p>
    <w:p w14:paraId="399157A0" w14:textId="77777777" w:rsidR="001F6AF2" w:rsidRDefault="001F6AF2">
      <w:pPr>
        <w:spacing w:after="0" w:line="360" w:lineRule="auto"/>
        <w:ind w:firstLine="709"/>
        <w:jc w:val="both"/>
        <w:rPr>
          <w:rFonts w:ascii="Times New Roman" w:hAnsi="Times New Roman" w:cs="Times New Roman"/>
          <w:sz w:val="28"/>
          <w:szCs w:val="28"/>
          <w:lang w:val="tr-TR"/>
        </w:rPr>
      </w:pPr>
    </w:p>
    <w:p w14:paraId="17DB6FB7" w14:textId="77777777" w:rsidR="001F6AF2" w:rsidRDefault="001F6AF2">
      <w:pPr>
        <w:spacing w:after="0" w:line="360" w:lineRule="auto"/>
        <w:ind w:firstLine="709"/>
        <w:jc w:val="both"/>
        <w:rPr>
          <w:rFonts w:ascii="Times New Roman" w:hAnsi="Times New Roman" w:cs="Times New Roman"/>
          <w:sz w:val="28"/>
          <w:szCs w:val="28"/>
          <w:lang w:val="tr-TR"/>
        </w:rPr>
      </w:pPr>
    </w:p>
    <w:p w14:paraId="58598A1C" w14:textId="77777777" w:rsidR="001F6AF2" w:rsidRDefault="001F6AF2">
      <w:pPr>
        <w:spacing w:after="0" w:line="360" w:lineRule="auto"/>
        <w:ind w:firstLine="709"/>
        <w:jc w:val="both"/>
        <w:rPr>
          <w:rFonts w:ascii="Times New Roman" w:hAnsi="Times New Roman" w:cs="Times New Roman"/>
          <w:sz w:val="28"/>
          <w:szCs w:val="28"/>
          <w:lang w:val="tr-TR"/>
        </w:rPr>
      </w:pPr>
    </w:p>
    <w:p w14:paraId="7E142AB6" w14:textId="77777777" w:rsidR="001F6AF2" w:rsidRDefault="00000000">
      <w:pPr>
        <w:spacing w:after="0" w:line="360" w:lineRule="auto"/>
        <w:ind w:firstLine="709"/>
        <w:jc w:val="right"/>
        <w:rPr>
          <w:rFonts w:ascii="Times New Roman" w:hAnsi="Times New Roman" w:cs="Times New Roman"/>
          <w:b/>
          <w:bCs/>
          <w:sz w:val="28"/>
          <w:szCs w:val="28"/>
          <w:lang w:val="tr-TR"/>
        </w:rPr>
      </w:pPr>
      <w:r>
        <w:rPr>
          <w:rFonts w:ascii="Times New Roman" w:hAnsi="Times New Roman" w:cs="Times New Roman"/>
          <w:b/>
          <w:bCs/>
          <w:sz w:val="28"/>
          <w:szCs w:val="28"/>
          <w:lang w:val="tr-TR"/>
        </w:rPr>
        <w:t>Cədvəl 2.2</w:t>
      </w:r>
    </w:p>
    <w:p w14:paraId="66B78073" w14:textId="77777777" w:rsidR="001F6AF2" w:rsidRDefault="00000000">
      <w:pPr>
        <w:spacing w:after="0" w:line="360" w:lineRule="auto"/>
        <w:ind w:firstLine="709"/>
        <w:jc w:val="center"/>
        <w:rPr>
          <w:rFonts w:ascii="Times New Roman" w:hAnsi="Times New Roman" w:cs="Times New Roman"/>
          <w:b/>
          <w:bCs/>
          <w:sz w:val="28"/>
          <w:szCs w:val="28"/>
          <w:lang w:val="tr-TR"/>
        </w:rPr>
      </w:pPr>
      <w:r>
        <w:rPr>
          <w:rFonts w:ascii="Times New Roman" w:hAnsi="Times New Roman" w:cs="Times New Roman"/>
          <w:b/>
          <w:bCs/>
          <w:sz w:val="28"/>
          <w:szCs w:val="28"/>
          <w:lang w:val="tr-TR"/>
        </w:rPr>
        <w:t>Ölkələr üzrə xarici ticarət dövriyyəsi (Min ABŞ dolları)</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6"/>
        <w:gridCol w:w="860"/>
        <w:gridCol w:w="841"/>
        <w:gridCol w:w="807"/>
        <w:gridCol w:w="710"/>
        <w:gridCol w:w="914"/>
        <w:gridCol w:w="760"/>
        <w:gridCol w:w="925"/>
        <w:gridCol w:w="737"/>
        <w:gridCol w:w="992"/>
        <w:gridCol w:w="1302"/>
      </w:tblGrid>
      <w:tr w:rsidR="001F6AF2" w14:paraId="35713204" w14:textId="77777777">
        <w:trPr>
          <w:tblHeader/>
          <w:tblCellSpacing w:w="15" w:type="dxa"/>
        </w:trPr>
        <w:tc>
          <w:tcPr>
            <w:tcW w:w="0" w:type="auto"/>
            <w:vAlign w:val="center"/>
          </w:tcPr>
          <w:p w14:paraId="28C7B131"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İl</w:t>
            </w:r>
          </w:p>
        </w:tc>
        <w:tc>
          <w:tcPr>
            <w:tcW w:w="0" w:type="auto"/>
            <w:vAlign w:val="center"/>
          </w:tcPr>
          <w:p w14:paraId="0FE5707B"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İtaliya</w:t>
            </w:r>
          </w:p>
        </w:tc>
        <w:tc>
          <w:tcPr>
            <w:tcW w:w="0" w:type="auto"/>
            <w:vAlign w:val="center"/>
          </w:tcPr>
          <w:p w14:paraId="7018E3B1"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Türkiyə</w:t>
            </w:r>
          </w:p>
        </w:tc>
        <w:tc>
          <w:tcPr>
            <w:tcW w:w="0" w:type="auto"/>
            <w:vAlign w:val="center"/>
          </w:tcPr>
          <w:p w14:paraId="05E3E24F"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Rusiya</w:t>
            </w:r>
          </w:p>
        </w:tc>
        <w:tc>
          <w:tcPr>
            <w:tcW w:w="0" w:type="auto"/>
            <w:vAlign w:val="center"/>
          </w:tcPr>
          <w:p w14:paraId="126D9E7C"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Çin</w:t>
            </w:r>
          </w:p>
        </w:tc>
        <w:tc>
          <w:tcPr>
            <w:tcW w:w="0" w:type="auto"/>
            <w:vAlign w:val="center"/>
          </w:tcPr>
          <w:p w14:paraId="1265ADDA"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Almaniya</w:t>
            </w:r>
          </w:p>
        </w:tc>
        <w:tc>
          <w:tcPr>
            <w:tcW w:w="0" w:type="auto"/>
            <w:vAlign w:val="center"/>
          </w:tcPr>
          <w:p w14:paraId="61CB3D84"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İsrail</w:t>
            </w:r>
          </w:p>
        </w:tc>
        <w:tc>
          <w:tcPr>
            <w:tcW w:w="0" w:type="auto"/>
            <w:vAlign w:val="center"/>
          </w:tcPr>
          <w:p w14:paraId="4D03C911"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Hindistan</w:t>
            </w:r>
          </w:p>
        </w:tc>
        <w:tc>
          <w:tcPr>
            <w:tcW w:w="0" w:type="auto"/>
            <w:vAlign w:val="center"/>
          </w:tcPr>
          <w:p w14:paraId="25458265"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ABŞ</w:t>
            </w:r>
          </w:p>
        </w:tc>
        <w:tc>
          <w:tcPr>
            <w:tcW w:w="0" w:type="auto"/>
            <w:vAlign w:val="center"/>
          </w:tcPr>
          <w:p w14:paraId="76A821C6"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Gürcüstan</w:t>
            </w:r>
          </w:p>
        </w:tc>
        <w:tc>
          <w:tcPr>
            <w:tcW w:w="0" w:type="auto"/>
            <w:vAlign w:val="center"/>
          </w:tcPr>
          <w:p w14:paraId="2B2494E7" w14:textId="77777777" w:rsidR="001F6AF2" w:rsidRDefault="00000000">
            <w:pPr>
              <w:spacing w:after="0" w:line="240" w:lineRule="auto"/>
              <w:jc w:val="both"/>
              <w:rPr>
                <w:rFonts w:ascii="Times New Roman" w:hAnsi="Times New Roman" w:cs="Times New Roman"/>
                <w:b/>
                <w:bCs/>
                <w:sz w:val="20"/>
                <w:szCs w:val="20"/>
                <w:lang w:val="tr-TR"/>
              </w:rPr>
            </w:pPr>
            <w:r>
              <w:rPr>
                <w:rFonts w:ascii="Times New Roman" w:hAnsi="Times New Roman" w:cs="Times New Roman"/>
                <w:b/>
                <w:bCs/>
                <w:sz w:val="20"/>
                <w:szCs w:val="20"/>
                <w:lang w:val="tr-TR"/>
              </w:rPr>
              <w:t>Böyük Britaniya</w:t>
            </w:r>
          </w:p>
        </w:tc>
      </w:tr>
      <w:tr w:rsidR="001F6AF2" w14:paraId="6F465BC0" w14:textId="77777777">
        <w:trPr>
          <w:tblCellSpacing w:w="15" w:type="dxa"/>
        </w:trPr>
        <w:tc>
          <w:tcPr>
            <w:tcW w:w="0" w:type="auto"/>
            <w:vAlign w:val="center"/>
          </w:tcPr>
          <w:p w14:paraId="5298A3F6"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2015</w:t>
            </w:r>
          </w:p>
        </w:tc>
        <w:tc>
          <w:tcPr>
            <w:tcW w:w="0" w:type="auto"/>
            <w:vAlign w:val="center"/>
          </w:tcPr>
          <w:p w14:paraId="44D6EC68"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2 842 095</w:t>
            </w:r>
          </w:p>
        </w:tc>
        <w:tc>
          <w:tcPr>
            <w:tcW w:w="0" w:type="auto"/>
            <w:vAlign w:val="center"/>
          </w:tcPr>
          <w:p w14:paraId="04383C09"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2 648 642</w:t>
            </w:r>
          </w:p>
        </w:tc>
        <w:tc>
          <w:tcPr>
            <w:tcW w:w="0" w:type="auto"/>
            <w:vAlign w:val="center"/>
          </w:tcPr>
          <w:p w14:paraId="7C63C81C"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1 855 692</w:t>
            </w:r>
          </w:p>
        </w:tc>
        <w:tc>
          <w:tcPr>
            <w:tcW w:w="0" w:type="auto"/>
            <w:vAlign w:val="center"/>
          </w:tcPr>
          <w:p w14:paraId="1B00C5C5"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565 111</w:t>
            </w:r>
          </w:p>
        </w:tc>
        <w:tc>
          <w:tcPr>
            <w:tcW w:w="0" w:type="auto"/>
            <w:vAlign w:val="center"/>
          </w:tcPr>
          <w:p w14:paraId="07AFEA1D"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1 913 959</w:t>
            </w:r>
          </w:p>
        </w:tc>
        <w:tc>
          <w:tcPr>
            <w:tcW w:w="0" w:type="auto"/>
            <w:vAlign w:val="center"/>
          </w:tcPr>
          <w:p w14:paraId="02B52252"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826 405</w:t>
            </w:r>
          </w:p>
        </w:tc>
        <w:tc>
          <w:tcPr>
            <w:tcW w:w="0" w:type="auto"/>
            <w:vAlign w:val="center"/>
          </w:tcPr>
          <w:p w14:paraId="79F257B6"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305 037</w:t>
            </w:r>
          </w:p>
        </w:tc>
        <w:tc>
          <w:tcPr>
            <w:tcW w:w="0" w:type="auto"/>
            <w:vAlign w:val="center"/>
          </w:tcPr>
          <w:p w14:paraId="611BDC9A"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1 185 094</w:t>
            </w:r>
          </w:p>
        </w:tc>
        <w:tc>
          <w:tcPr>
            <w:tcW w:w="0" w:type="auto"/>
            <w:vAlign w:val="center"/>
          </w:tcPr>
          <w:p w14:paraId="04EAD7B1"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564 189</w:t>
            </w:r>
          </w:p>
        </w:tc>
        <w:tc>
          <w:tcPr>
            <w:tcW w:w="0" w:type="auto"/>
            <w:vAlign w:val="center"/>
          </w:tcPr>
          <w:p w14:paraId="4061495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563 736</w:t>
            </w:r>
          </w:p>
        </w:tc>
      </w:tr>
      <w:tr w:rsidR="001F6AF2" w14:paraId="1FABCE93" w14:textId="77777777">
        <w:trPr>
          <w:tblCellSpacing w:w="15" w:type="dxa"/>
        </w:trPr>
        <w:tc>
          <w:tcPr>
            <w:tcW w:w="0" w:type="auto"/>
            <w:vAlign w:val="center"/>
          </w:tcPr>
          <w:p w14:paraId="793ABED8"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2016</w:t>
            </w:r>
          </w:p>
        </w:tc>
        <w:tc>
          <w:tcPr>
            <w:tcW w:w="0" w:type="auto"/>
            <w:vAlign w:val="center"/>
          </w:tcPr>
          <w:p w14:paraId="5DB86C76"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4 666 189</w:t>
            </w:r>
          </w:p>
        </w:tc>
        <w:tc>
          <w:tcPr>
            <w:tcW w:w="0" w:type="auto"/>
            <w:vAlign w:val="center"/>
          </w:tcPr>
          <w:p w14:paraId="0725DEC9"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2 367 241</w:t>
            </w:r>
          </w:p>
        </w:tc>
        <w:tc>
          <w:tcPr>
            <w:tcW w:w="0" w:type="auto"/>
            <w:vAlign w:val="center"/>
          </w:tcPr>
          <w:p w14:paraId="52E0786B"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2 050 953</w:t>
            </w:r>
          </w:p>
        </w:tc>
        <w:tc>
          <w:tcPr>
            <w:tcW w:w="0" w:type="auto"/>
            <w:vAlign w:val="center"/>
          </w:tcPr>
          <w:p w14:paraId="087891F1"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1 085 833</w:t>
            </w:r>
          </w:p>
        </w:tc>
        <w:tc>
          <w:tcPr>
            <w:tcW w:w="0" w:type="auto"/>
            <w:vAlign w:val="center"/>
          </w:tcPr>
          <w:p w14:paraId="148381B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1 001 323</w:t>
            </w:r>
          </w:p>
        </w:tc>
        <w:tc>
          <w:tcPr>
            <w:tcW w:w="0" w:type="auto"/>
            <w:vAlign w:val="center"/>
          </w:tcPr>
          <w:p w14:paraId="14137DE1"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679 736</w:t>
            </w:r>
          </w:p>
        </w:tc>
        <w:tc>
          <w:tcPr>
            <w:tcW w:w="0" w:type="auto"/>
            <w:vAlign w:val="center"/>
          </w:tcPr>
          <w:p w14:paraId="4AD0F00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611 809</w:t>
            </w:r>
          </w:p>
        </w:tc>
        <w:tc>
          <w:tcPr>
            <w:tcW w:w="0" w:type="auto"/>
            <w:vAlign w:val="center"/>
          </w:tcPr>
          <w:p w14:paraId="4C9483AC"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552 255</w:t>
            </w:r>
          </w:p>
        </w:tc>
        <w:tc>
          <w:tcPr>
            <w:tcW w:w="0" w:type="auto"/>
            <w:vAlign w:val="center"/>
          </w:tcPr>
          <w:p w14:paraId="788C3C7E"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468 108</w:t>
            </w:r>
          </w:p>
        </w:tc>
        <w:tc>
          <w:tcPr>
            <w:tcW w:w="0" w:type="auto"/>
            <w:vAlign w:val="center"/>
          </w:tcPr>
          <w:p w14:paraId="36F993E7"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575 133</w:t>
            </w:r>
          </w:p>
        </w:tc>
      </w:tr>
      <w:tr w:rsidR="001F6AF2" w14:paraId="60D3CEF2" w14:textId="77777777">
        <w:trPr>
          <w:tblCellSpacing w:w="15" w:type="dxa"/>
        </w:trPr>
        <w:tc>
          <w:tcPr>
            <w:tcW w:w="0" w:type="auto"/>
            <w:vAlign w:val="center"/>
          </w:tcPr>
          <w:p w14:paraId="1D20A616"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2017</w:t>
            </w:r>
          </w:p>
        </w:tc>
        <w:tc>
          <w:tcPr>
            <w:tcW w:w="0" w:type="auto"/>
            <w:vAlign w:val="center"/>
          </w:tcPr>
          <w:p w14:paraId="089054D1"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5 671 290</w:t>
            </w:r>
          </w:p>
        </w:tc>
        <w:tc>
          <w:tcPr>
            <w:tcW w:w="0" w:type="auto"/>
            <w:vAlign w:val="center"/>
          </w:tcPr>
          <w:p w14:paraId="24127998"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2 667 579</w:t>
            </w:r>
          </w:p>
        </w:tc>
        <w:tc>
          <w:tcPr>
            <w:tcW w:w="0" w:type="auto"/>
            <w:vAlign w:val="center"/>
          </w:tcPr>
          <w:p w14:paraId="73CF816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2 141 121</w:t>
            </w:r>
          </w:p>
        </w:tc>
        <w:tc>
          <w:tcPr>
            <w:tcW w:w="0" w:type="auto"/>
            <w:vAlign w:val="center"/>
          </w:tcPr>
          <w:p w14:paraId="7AA332D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1 298 342</w:t>
            </w:r>
          </w:p>
        </w:tc>
        <w:tc>
          <w:tcPr>
            <w:tcW w:w="0" w:type="auto"/>
            <w:vAlign w:val="center"/>
          </w:tcPr>
          <w:p w14:paraId="61E147FA"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894 183</w:t>
            </w:r>
          </w:p>
        </w:tc>
        <w:tc>
          <w:tcPr>
            <w:tcW w:w="0" w:type="auto"/>
            <w:vAlign w:val="center"/>
          </w:tcPr>
          <w:p w14:paraId="1A9329C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671 612</w:t>
            </w:r>
          </w:p>
        </w:tc>
        <w:tc>
          <w:tcPr>
            <w:tcW w:w="0" w:type="auto"/>
            <w:vAlign w:val="center"/>
          </w:tcPr>
          <w:p w14:paraId="1AB55BC1"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501 097</w:t>
            </w:r>
          </w:p>
        </w:tc>
        <w:tc>
          <w:tcPr>
            <w:tcW w:w="0" w:type="auto"/>
            <w:vAlign w:val="center"/>
          </w:tcPr>
          <w:p w14:paraId="3A8DCD0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781 785</w:t>
            </w:r>
          </w:p>
        </w:tc>
        <w:tc>
          <w:tcPr>
            <w:tcW w:w="0" w:type="auto"/>
            <w:vAlign w:val="center"/>
          </w:tcPr>
          <w:p w14:paraId="6CFEB405"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561 906</w:t>
            </w:r>
          </w:p>
        </w:tc>
        <w:tc>
          <w:tcPr>
            <w:tcW w:w="0" w:type="auto"/>
            <w:vAlign w:val="center"/>
          </w:tcPr>
          <w:p w14:paraId="024D0C0C"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281 064</w:t>
            </w:r>
          </w:p>
        </w:tc>
      </w:tr>
      <w:tr w:rsidR="001F6AF2" w14:paraId="71066DA5" w14:textId="77777777">
        <w:trPr>
          <w:tblCellSpacing w:w="15" w:type="dxa"/>
        </w:trPr>
        <w:tc>
          <w:tcPr>
            <w:tcW w:w="0" w:type="auto"/>
            <w:vAlign w:val="center"/>
          </w:tcPr>
          <w:p w14:paraId="38B708A9"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2018</w:t>
            </w:r>
          </w:p>
        </w:tc>
        <w:tc>
          <w:tcPr>
            <w:tcW w:w="0" w:type="auto"/>
            <w:vAlign w:val="center"/>
          </w:tcPr>
          <w:p w14:paraId="60D417B4"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6 219 868</w:t>
            </w:r>
          </w:p>
        </w:tc>
        <w:tc>
          <w:tcPr>
            <w:tcW w:w="0" w:type="auto"/>
            <w:vAlign w:val="center"/>
          </w:tcPr>
          <w:p w14:paraId="439E4C3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3 402 810</w:t>
            </w:r>
          </w:p>
        </w:tc>
        <w:tc>
          <w:tcPr>
            <w:tcW w:w="0" w:type="auto"/>
            <w:vAlign w:val="center"/>
          </w:tcPr>
          <w:p w14:paraId="2ADE2B6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2 550 163</w:t>
            </w:r>
          </w:p>
        </w:tc>
        <w:tc>
          <w:tcPr>
            <w:tcW w:w="0" w:type="auto"/>
            <w:vAlign w:val="center"/>
          </w:tcPr>
          <w:p w14:paraId="2832DC77"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1 310 223</w:t>
            </w:r>
          </w:p>
        </w:tc>
        <w:tc>
          <w:tcPr>
            <w:tcW w:w="0" w:type="auto"/>
            <w:vAlign w:val="center"/>
          </w:tcPr>
          <w:p w14:paraId="42408BDC"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1 447 734</w:t>
            </w:r>
          </w:p>
        </w:tc>
        <w:tc>
          <w:tcPr>
            <w:tcW w:w="0" w:type="auto"/>
            <w:vAlign w:val="center"/>
          </w:tcPr>
          <w:p w14:paraId="41424D77"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1 334 730</w:t>
            </w:r>
          </w:p>
        </w:tc>
        <w:tc>
          <w:tcPr>
            <w:tcW w:w="0" w:type="auto"/>
            <w:vAlign w:val="center"/>
          </w:tcPr>
          <w:p w14:paraId="27A2A034"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922 481</w:t>
            </w:r>
          </w:p>
        </w:tc>
        <w:tc>
          <w:tcPr>
            <w:tcW w:w="0" w:type="auto"/>
            <w:vAlign w:val="center"/>
          </w:tcPr>
          <w:p w14:paraId="24E8B9CB"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858 501</w:t>
            </w:r>
          </w:p>
        </w:tc>
        <w:tc>
          <w:tcPr>
            <w:tcW w:w="0" w:type="auto"/>
            <w:vAlign w:val="center"/>
          </w:tcPr>
          <w:p w14:paraId="0F2C5E7E"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592 324</w:t>
            </w:r>
          </w:p>
        </w:tc>
        <w:tc>
          <w:tcPr>
            <w:tcW w:w="0" w:type="auto"/>
            <w:vAlign w:val="center"/>
          </w:tcPr>
          <w:p w14:paraId="3431AEAA"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525 181</w:t>
            </w:r>
          </w:p>
        </w:tc>
      </w:tr>
      <w:tr w:rsidR="001F6AF2" w14:paraId="71844414" w14:textId="77777777">
        <w:trPr>
          <w:tblCellSpacing w:w="15" w:type="dxa"/>
        </w:trPr>
        <w:tc>
          <w:tcPr>
            <w:tcW w:w="0" w:type="auto"/>
            <w:vAlign w:val="center"/>
          </w:tcPr>
          <w:p w14:paraId="1EA9547F"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2019</w:t>
            </w:r>
          </w:p>
        </w:tc>
        <w:tc>
          <w:tcPr>
            <w:tcW w:w="0" w:type="auto"/>
            <w:vAlign w:val="center"/>
          </w:tcPr>
          <w:p w14:paraId="611B41DC"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6 008 573</w:t>
            </w:r>
          </w:p>
        </w:tc>
        <w:tc>
          <w:tcPr>
            <w:tcW w:w="0" w:type="auto"/>
            <w:vAlign w:val="center"/>
          </w:tcPr>
          <w:p w14:paraId="6DBA77D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4 509 569</w:t>
            </w:r>
          </w:p>
        </w:tc>
        <w:tc>
          <w:tcPr>
            <w:tcW w:w="0" w:type="auto"/>
            <w:vAlign w:val="center"/>
          </w:tcPr>
          <w:p w14:paraId="2593D0DD"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3 022 045</w:t>
            </w:r>
          </w:p>
        </w:tc>
        <w:tc>
          <w:tcPr>
            <w:tcW w:w="0" w:type="auto"/>
            <w:vAlign w:val="center"/>
          </w:tcPr>
          <w:p w14:paraId="32C087D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2 184 314</w:t>
            </w:r>
          </w:p>
        </w:tc>
        <w:tc>
          <w:tcPr>
            <w:tcW w:w="0" w:type="auto"/>
            <w:vAlign w:val="center"/>
          </w:tcPr>
          <w:p w14:paraId="1F2785D1"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1 641 505</w:t>
            </w:r>
          </w:p>
        </w:tc>
        <w:tc>
          <w:tcPr>
            <w:tcW w:w="0" w:type="auto"/>
            <w:vAlign w:val="center"/>
          </w:tcPr>
          <w:p w14:paraId="4A45667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1 375 303</w:t>
            </w:r>
          </w:p>
        </w:tc>
        <w:tc>
          <w:tcPr>
            <w:tcW w:w="0" w:type="auto"/>
            <w:vAlign w:val="center"/>
          </w:tcPr>
          <w:p w14:paraId="6377A36A"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1 092 549</w:t>
            </w:r>
          </w:p>
        </w:tc>
        <w:tc>
          <w:tcPr>
            <w:tcW w:w="0" w:type="auto"/>
            <w:vAlign w:val="center"/>
          </w:tcPr>
          <w:p w14:paraId="7FC4F358"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791 899</w:t>
            </w:r>
          </w:p>
        </w:tc>
        <w:tc>
          <w:tcPr>
            <w:tcW w:w="0" w:type="auto"/>
            <w:vAlign w:val="center"/>
          </w:tcPr>
          <w:p w14:paraId="41B86F01"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659 027</w:t>
            </w:r>
          </w:p>
        </w:tc>
        <w:tc>
          <w:tcPr>
            <w:tcW w:w="0" w:type="auto"/>
            <w:vAlign w:val="center"/>
          </w:tcPr>
          <w:p w14:paraId="5B8752E7"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704 564</w:t>
            </w:r>
          </w:p>
        </w:tc>
      </w:tr>
      <w:tr w:rsidR="001F6AF2" w14:paraId="000D9286" w14:textId="77777777">
        <w:trPr>
          <w:tblCellSpacing w:w="15" w:type="dxa"/>
        </w:trPr>
        <w:tc>
          <w:tcPr>
            <w:tcW w:w="0" w:type="auto"/>
            <w:vAlign w:val="center"/>
          </w:tcPr>
          <w:p w14:paraId="7A349D2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2020</w:t>
            </w:r>
          </w:p>
        </w:tc>
        <w:tc>
          <w:tcPr>
            <w:tcW w:w="0" w:type="auto"/>
            <w:vAlign w:val="center"/>
          </w:tcPr>
          <w:p w14:paraId="4F7D3AE1"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4 568 783</w:t>
            </w:r>
          </w:p>
        </w:tc>
        <w:tc>
          <w:tcPr>
            <w:tcW w:w="0" w:type="auto"/>
            <w:vAlign w:val="center"/>
          </w:tcPr>
          <w:p w14:paraId="1248AAA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4 160 266</w:t>
            </w:r>
          </w:p>
        </w:tc>
        <w:tc>
          <w:tcPr>
            <w:tcW w:w="0" w:type="auto"/>
            <w:vAlign w:val="center"/>
          </w:tcPr>
          <w:p w14:paraId="08C66A49"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2 671 527</w:t>
            </w:r>
          </w:p>
        </w:tc>
        <w:tc>
          <w:tcPr>
            <w:tcW w:w="0" w:type="auto"/>
            <w:vAlign w:val="center"/>
          </w:tcPr>
          <w:p w14:paraId="3EE821CD"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1 846 761</w:t>
            </w:r>
          </w:p>
        </w:tc>
        <w:tc>
          <w:tcPr>
            <w:tcW w:w="0" w:type="auto"/>
            <w:vAlign w:val="center"/>
          </w:tcPr>
          <w:p w14:paraId="6A65808C"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817 622</w:t>
            </w:r>
          </w:p>
        </w:tc>
        <w:tc>
          <w:tcPr>
            <w:tcW w:w="0" w:type="auto"/>
            <w:vAlign w:val="center"/>
          </w:tcPr>
          <w:p w14:paraId="53017B36"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465 721</w:t>
            </w:r>
          </w:p>
        </w:tc>
        <w:tc>
          <w:tcPr>
            <w:tcW w:w="0" w:type="auto"/>
            <w:vAlign w:val="center"/>
          </w:tcPr>
          <w:p w14:paraId="7AE0A639"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582 757</w:t>
            </w:r>
          </w:p>
        </w:tc>
        <w:tc>
          <w:tcPr>
            <w:tcW w:w="0" w:type="auto"/>
            <w:vAlign w:val="center"/>
          </w:tcPr>
          <w:p w14:paraId="1755D038"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661 065</w:t>
            </w:r>
          </w:p>
        </w:tc>
        <w:tc>
          <w:tcPr>
            <w:tcW w:w="0" w:type="auto"/>
            <w:vAlign w:val="center"/>
          </w:tcPr>
          <w:p w14:paraId="5221C364"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536 203</w:t>
            </w:r>
          </w:p>
        </w:tc>
        <w:tc>
          <w:tcPr>
            <w:tcW w:w="0" w:type="auto"/>
            <w:vAlign w:val="center"/>
          </w:tcPr>
          <w:p w14:paraId="7451C55E"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454 933</w:t>
            </w:r>
          </w:p>
        </w:tc>
      </w:tr>
      <w:tr w:rsidR="001F6AF2" w14:paraId="2131AD8F" w14:textId="77777777">
        <w:trPr>
          <w:tblCellSpacing w:w="15" w:type="dxa"/>
        </w:trPr>
        <w:tc>
          <w:tcPr>
            <w:tcW w:w="0" w:type="auto"/>
            <w:vAlign w:val="center"/>
          </w:tcPr>
          <w:p w14:paraId="23BADD66"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2021</w:t>
            </w:r>
          </w:p>
        </w:tc>
        <w:tc>
          <w:tcPr>
            <w:tcW w:w="0" w:type="auto"/>
            <w:vAlign w:val="center"/>
          </w:tcPr>
          <w:p w14:paraId="52CC46CE"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9 663 349</w:t>
            </w:r>
          </w:p>
        </w:tc>
        <w:tc>
          <w:tcPr>
            <w:tcW w:w="0" w:type="auto"/>
            <w:vAlign w:val="center"/>
          </w:tcPr>
          <w:p w14:paraId="01C52F85"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4 661 793</w:t>
            </w:r>
          </w:p>
        </w:tc>
        <w:tc>
          <w:tcPr>
            <w:tcW w:w="0" w:type="auto"/>
            <w:vAlign w:val="center"/>
          </w:tcPr>
          <w:p w14:paraId="04BCBD4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2 995 263</w:t>
            </w:r>
          </w:p>
        </w:tc>
        <w:tc>
          <w:tcPr>
            <w:tcW w:w="0" w:type="auto"/>
            <w:vAlign w:val="center"/>
          </w:tcPr>
          <w:p w14:paraId="57B572CE"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1 780 690</w:t>
            </w:r>
          </w:p>
        </w:tc>
        <w:tc>
          <w:tcPr>
            <w:tcW w:w="0" w:type="auto"/>
            <w:vAlign w:val="center"/>
          </w:tcPr>
          <w:p w14:paraId="670233E6"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1 284 642</w:t>
            </w:r>
          </w:p>
        </w:tc>
        <w:tc>
          <w:tcPr>
            <w:tcW w:w="0" w:type="auto"/>
            <w:vAlign w:val="center"/>
          </w:tcPr>
          <w:p w14:paraId="5A8DDEC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928 403</w:t>
            </w:r>
          </w:p>
        </w:tc>
        <w:tc>
          <w:tcPr>
            <w:tcW w:w="0" w:type="auto"/>
            <w:vAlign w:val="center"/>
          </w:tcPr>
          <w:p w14:paraId="0FA7C16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739 101</w:t>
            </w:r>
          </w:p>
        </w:tc>
        <w:tc>
          <w:tcPr>
            <w:tcW w:w="0" w:type="auto"/>
            <w:vAlign w:val="center"/>
          </w:tcPr>
          <w:p w14:paraId="31B22DE2"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517 209</w:t>
            </w:r>
          </w:p>
        </w:tc>
        <w:tc>
          <w:tcPr>
            <w:tcW w:w="0" w:type="auto"/>
            <w:vAlign w:val="center"/>
          </w:tcPr>
          <w:p w14:paraId="1B96FECF"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761 237</w:t>
            </w:r>
          </w:p>
        </w:tc>
        <w:tc>
          <w:tcPr>
            <w:tcW w:w="0" w:type="auto"/>
            <w:vAlign w:val="center"/>
          </w:tcPr>
          <w:p w14:paraId="0ABA1E86"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667 902</w:t>
            </w:r>
          </w:p>
        </w:tc>
      </w:tr>
      <w:tr w:rsidR="001F6AF2" w14:paraId="15FF5D5C" w14:textId="77777777">
        <w:trPr>
          <w:tblCellSpacing w:w="15" w:type="dxa"/>
        </w:trPr>
        <w:tc>
          <w:tcPr>
            <w:tcW w:w="0" w:type="auto"/>
            <w:vAlign w:val="center"/>
          </w:tcPr>
          <w:p w14:paraId="09DC073E"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2022</w:t>
            </w:r>
          </w:p>
        </w:tc>
        <w:tc>
          <w:tcPr>
            <w:tcW w:w="0" w:type="auto"/>
            <w:vAlign w:val="center"/>
          </w:tcPr>
          <w:p w14:paraId="590E8327"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18 122 949</w:t>
            </w:r>
          </w:p>
        </w:tc>
        <w:tc>
          <w:tcPr>
            <w:tcW w:w="0" w:type="auto"/>
            <w:vAlign w:val="center"/>
          </w:tcPr>
          <w:p w14:paraId="1CCA60C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5 842 495</w:t>
            </w:r>
          </w:p>
        </w:tc>
        <w:tc>
          <w:tcPr>
            <w:tcW w:w="0" w:type="auto"/>
            <w:vAlign w:val="center"/>
          </w:tcPr>
          <w:p w14:paraId="1AEEDA68"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3 710 259</w:t>
            </w:r>
          </w:p>
        </w:tc>
        <w:tc>
          <w:tcPr>
            <w:tcW w:w="0" w:type="auto"/>
            <w:vAlign w:val="center"/>
          </w:tcPr>
          <w:p w14:paraId="583D78C9"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2 158 693</w:t>
            </w:r>
          </w:p>
        </w:tc>
        <w:tc>
          <w:tcPr>
            <w:tcW w:w="0" w:type="auto"/>
            <w:vAlign w:val="center"/>
          </w:tcPr>
          <w:p w14:paraId="494F88EA"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1 254 909</w:t>
            </w:r>
          </w:p>
        </w:tc>
        <w:tc>
          <w:tcPr>
            <w:tcW w:w="0" w:type="auto"/>
            <w:vAlign w:val="center"/>
          </w:tcPr>
          <w:p w14:paraId="0B44674E"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1 718 390</w:t>
            </w:r>
          </w:p>
        </w:tc>
        <w:tc>
          <w:tcPr>
            <w:tcW w:w="0" w:type="auto"/>
            <w:vAlign w:val="center"/>
          </w:tcPr>
          <w:p w14:paraId="5A3BDD32"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1 882 078</w:t>
            </w:r>
          </w:p>
        </w:tc>
        <w:tc>
          <w:tcPr>
            <w:tcW w:w="0" w:type="auto"/>
            <w:vAlign w:val="center"/>
          </w:tcPr>
          <w:p w14:paraId="45A1BA67"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570 038</w:t>
            </w:r>
          </w:p>
        </w:tc>
        <w:tc>
          <w:tcPr>
            <w:tcW w:w="0" w:type="auto"/>
            <w:vAlign w:val="center"/>
          </w:tcPr>
          <w:p w14:paraId="6878E931"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771 774</w:t>
            </w:r>
          </w:p>
        </w:tc>
        <w:tc>
          <w:tcPr>
            <w:tcW w:w="0" w:type="auto"/>
            <w:vAlign w:val="center"/>
          </w:tcPr>
          <w:p w14:paraId="0196EC99"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1 036 169</w:t>
            </w:r>
          </w:p>
        </w:tc>
      </w:tr>
      <w:tr w:rsidR="001F6AF2" w14:paraId="62E19271" w14:textId="77777777">
        <w:trPr>
          <w:tblCellSpacing w:w="15" w:type="dxa"/>
        </w:trPr>
        <w:tc>
          <w:tcPr>
            <w:tcW w:w="0" w:type="auto"/>
            <w:vAlign w:val="center"/>
          </w:tcPr>
          <w:p w14:paraId="00AD599C"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2023</w:t>
            </w:r>
          </w:p>
        </w:tc>
        <w:tc>
          <w:tcPr>
            <w:tcW w:w="0" w:type="auto"/>
            <w:vAlign w:val="center"/>
          </w:tcPr>
          <w:p w14:paraId="155363B8"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15 685 972</w:t>
            </w:r>
          </w:p>
        </w:tc>
        <w:tc>
          <w:tcPr>
            <w:tcW w:w="0" w:type="auto"/>
            <w:vAlign w:val="center"/>
          </w:tcPr>
          <w:p w14:paraId="3B2541DB"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7 650 600</w:t>
            </w:r>
          </w:p>
        </w:tc>
        <w:tc>
          <w:tcPr>
            <w:tcW w:w="0" w:type="auto"/>
            <w:vAlign w:val="center"/>
          </w:tcPr>
          <w:p w14:paraId="1F5C3824"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4 358 740</w:t>
            </w:r>
          </w:p>
        </w:tc>
        <w:tc>
          <w:tcPr>
            <w:tcW w:w="0" w:type="auto"/>
            <w:vAlign w:val="center"/>
          </w:tcPr>
          <w:p w14:paraId="2FE27ECB"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3 101 550</w:t>
            </w:r>
          </w:p>
        </w:tc>
        <w:tc>
          <w:tcPr>
            <w:tcW w:w="0" w:type="auto"/>
            <w:vAlign w:val="center"/>
          </w:tcPr>
          <w:p w14:paraId="1F26F0B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1 824 344</w:t>
            </w:r>
          </w:p>
        </w:tc>
        <w:tc>
          <w:tcPr>
            <w:tcW w:w="0" w:type="auto"/>
            <w:vAlign w:val="center"/>
          </w:tcPr>
          <w:p w14:paraId="33EC5998"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1 443 520</w:t>
            </w:r>
          </w:p>
        </w:tc>
        <w:tc>
          <w:tcPr>
            <w:tcW w:w="0" w:type="auto"/>
            <w:vAlign w:val="center"/>
          </w:tcPr>
          <w:p w14:paraId="0D35E4E7"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1 435 503</w:t>
            </w:r>
          </w:p>
        </w:tc>
        <w:tc>
          <w:tcPr>
            <w:tcW w:w="0" w:type="auto"/>
            <w:vAlign w:val="center"/>
          </w:tcPr>
          <w:p w14:paraId="679B2CBC"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904 180</w:t>
            </w:r>
          </w:p>
        </w:tc>
        <w:tc>
          <w:tcPr>
            <w:tcW w:w="0" w:type="auto"/>
            <w:vAlign w:val="center"/>
          </w:tcPr>
          <w:p w14:paraId="471018B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885 826</w:t>
            </w:r>
          </w:p>
        </w:tc>
        <w:tc>
          <w:tcPr>
            <w:tcW w:w="0" w:type="auto"/>
            <w:vAlign w:val="center"/>
          </w:tcPr>
          <w:p w14:paraId="4F900375"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790 784</w:t>
            </w:r>
          </w:p>
        </w:tc>
      </w:tr>
      <w:tr w:rsidR="001F6AF2" w14:paraId="1CBD9A9C" w14:textId="77777777">
        <w:trPr>
          <w:tblCellSpacing w:w="15" w:type="dxa"/>
        </w:trPr>
        <w:tc>
          <w:tcPr>
            <w:tcW w:w="0" w:type="auto"/>
            <w:vAlign w:val="center"/>
          </w:tcPr>
          <w:p w14:paraId="02BBEB52"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b/>
                <w:bCs/>
                <w:sz w:val="20"/>
                <w:szCs w:val="20"/>
                <w:lang w:val="tr-TR"/>
              </w:rPr>
              <w:t>2024</w:t>
            </w:r>
          </w:p>
        </w:tc>
        <w:tc>
          <w:tcPr>
            <w:tcW w:w="0" w:type="auto"/>
            <w:vAlign w:val="center"/>
          </w:tcPr>
          <w:p w14:paraId="7E3F5C56"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11 390 933</w:t>
            </w:r>
          </w:p>
        </w:tc>
        <w:tc>
          <w:tcPr>
            <w:tcW w:w="0" w:type="auto"/>
            <w:vAlign w:val="center"/>
          </w:tcPr>
          <w:p w14:paraId="5FC64E3F"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6 130 182</w:t>
            </w:r>
          </w:p>
        </w:tc>
        <w:tc>
          <w:tcPr>
            <w:tcW w:w="0" w:type="auto"/>
            <w:vAlign w:val="center"/>
          </w:tcPr>
          <w:p w14:paraId="55B4B328"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4 799 820</w:t>
            </w:r>
          </w:p>
        </w:tc>
        <w:tc>
          <w:tcPr>
            <w:tcW w:w="0" w:type="auto"/>
            <w:vAlign w:val="center"/>
          </w:tcPr>
          <w:p w14:paraId="1049F16E"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3 744 754</w:t>
            </w:r>
          </w:p>
        </w:tc>
        <w:tc>
          <w:tcPr>
            <w:tcW w:w="0" w:type="auto"/>
            <w:vAlign w:val="center"/>
          </w:tcPr>
          <w:p w14:paraId="7FBFD203"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1 602 691</w:t>
            </w:r>
          </w:p>
        </w:tc>
        <w:tc>
          <w:tcPr>
            <w:tcW w:w="0" w:type="auto"/>
            <w:vAlign w:val="center"/>
          </w:tcPr>
          <w:p w14:paraId="7CE8C11C"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765 222</w:t>
            </w:r>
          </w:p>
        </w:tc>
        <w:tc>
          <w:tcPr>
            <w:tcW w:w="0" w:type="auto"/>
            <w:vAlign w:val="center"/>
          </w:tcPr>
          <w:p w14:paraId="0845517A"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958 343</w:t>
            </w:r>
          </w:p>
        </w:tc>
        <w:tc>
          <w:tcPr>
            <w:tcW w:w="0" w:type="auto"/>
            <w:vAlign w:val="center"/>
          </w:tcPr>
          <w:p w14:paraId="66536400"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1 752 956</w:t>
            </w:r>
          </w:p>
        </w:tc>
        <w:tc>
          <w:tcPr>
            <w:tcW w:w="0" w:type="auto"/>
            <w:vAlign w:val="center"/>
          </w:tcPr>
          <w:p w14:paraId="2830340F"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804 030</w:t>
            </w:r>
          </w:p>
        </w:tc>
        <w:tc>
          <w:tcPr>
            <w:tcW w:w="0" w:type="auto"/>
            <w:vAlign w:val="center"/>
          </w:tcPr>
          <w:p w14:paraId="5C49F80B" w14:textId="77777777" w:rsidR="001F6AF2" w:rsidRDefault="00000000">
            <w:pPr>
              <w:spacing w:after="0" w:line="240" w:lineRule="auto"/>
              <w:jc w:val="both"/>
              <w:rPr>
                <w:rFonts w:ascii="Times New Roman" w:hAnsi="Times New Roman" w:cs="Times New Roman"/>
                <w:sz w:val="20"/>
                <w:szCs w:val="20"/>
                <w:lang w:val="tr-TR"/>
              </w:rPr>
            </w:pPr>
            <w:r>
              <w:rPr>
                <w:rFonts w:ascii="Times New Roman" w:hAnsi="Times New Roman" w:cs="Times New Roman"/>
                <w:sz w:val="20"/>
                <w:szCs w:val="20"/>
                <w:lang w:val="tr-TR"/>
              </w:rPr>
              <w:t>680 356</w:t>
            </w:r>
          </w:p>
        </w:tc>
      </w:tr>
    </w:tbl>
    <w:p w14:paraId="30E119A1"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b/>
          <w:bCs/>
          <w:sz w:val="28"/>
          <w:szCs w:val="28"/>
          <w:lang w:val="tr-TR"/>
        </w:rPr>
        <w:t>Mənbə:</w:t>
      </w:r>
      <w:r>
        <w:rPr>
          <w:rFonts w:ascii="Times New Roman" w:hAnsi="Times New Roman" w:cs="Times New Roman"/>
          <w:sz w:val="28"/>
          <w:szCs w:val="28"/>
          <w:lang w:val="tr-TR"/>
        </w:rPr>
        <w:t xml:space="preserve"> https://www.stat.gov.az/source/trade/</w:t>
      </w:r>
    </w:p>
    <w:p w14:paraId="46A10FD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2015–2024-cü illəri əhatə edən dövrdə Beynəlxalq Standart Ticarət Təsnifatı üzrə Azərbaycanın ixrac strukturunun təhlili göstərir ki, ixrac gəlirlərinin formalaşmasında mineral yanacaq, sürtkü yağları və analoji materiallar bölməsi mütləq üstünlük təşkil edir və ümumi ixracın müəyyən illərdə 90 faizə yaxın hissəsini təmin edir. Müvafiq məhsul qrupu üzrə ixracın həcmi 2015-ci ildə 11,2 milyard ABŞ dollarından 2018-ci ildə 17,9 milyard dollara, 2022-ci ildə isə 35,3 milyard dollara qədər yüksəlmiş, 2023 və 2024-cü illərdə müvafiq olaraq 31,0 və 23,4 milyard dollar səviyyəsində qeydə alınmışdır ki, bu dinamika dünya enerji bazarındakı qiymət trayektoriyası və hasilat həcmlərindəki dəyişikliklərlə birbaşa bağlıdır. Belə struktur mənzərə göstərir ki, Azərbaycan ixracının funksional bazisi hələ də neft-qaz sektoruna söykənir və digər məhsul qruplarının artımı ümumi strukturda nisbi pay baxımından məhdud qalır.​</w:t>
      </w:r>
    </w:p>
    <w:p w14:paraId="2BE9FA4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Yeyinti məhsulları və diri heyvanlar bölməsi üzrə göstəricilər ixracın qeyri-neft seqmentində davamlı, lakin nisbətən mülayim artım xəttini əks etdirir. 2015-ci ildə 625,1 milyon dollar təşkil edən ixrac həcmi 2019-cu ildə 709,6 milyon dollara, 2023-cü ildə 854,4 milyon dollara, 2024-cü ildə isə 940,1 milyon dollara çatmışdır ki, bu da kənd təsərrüfatı və ərzaq sənayesi məhsullarının xarici bazarlara çıxış imkanlarının tədricən genişləndiyini göstərir. Bununla yanaşı içkilər və tütün kateqoriyası üzrə 2016-cı ildə 27,6 milyon dollar səviyyəsində olan ixracın 2024-cü ildə 125,2 milyon dollara yüksəlməsi qeyri-neft emal sənayesinin seçilmiş niş istiqamətlərdə ixrac potensialının artdığını nümayiş etdirir.​</w:t>
      </w:r>
    </w:p>
    <w:p w14:paraId="4A337F10"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Kimyəvi mallar, əsasən materialın növünə görə təsnifləşdirilən sənaye malları, həmçinin qeyri-ərzaq xammalı bölmələri üzrə göstəricilər sənayeləşmə prosesinin ixrac strukturuna təsirini daha aydın göstərir. Kimyəvi məhsulların ixracı 2015-ci ildə 190,2 milyon dollardan 2021-ci ildə 682,0 milyon dollara, 2022-ci ildə 767,0 milyon dollara yüksəlmiş, 2023 və 2024-cü illərdə müəyyən azalma ilə 702,6 və 657,2 milyon dollar səviyyəsində formalaşmışdır ki, bu artım neft-kimya kompleksində həyata keçirilən modernizasiya layihələrinin nəticəsini əks etdirir. Materiala görə təsnifləşdirilən sənaye malları üzrə ixracın 2015-ci ildə 179,8 milyon dollardan 2021-ci ildə 517,5 milyon dollara, sonrakı illərdə isə 500 milyon dollar ətrafında sabitləşməsi emal sənayesinin müəyyən dərəcədə institusional möhkəmlənməsini göstərir.​</w:t>
      </w:r>
    </w:p>
    <w:p w14:paraId="349E59A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Maşınlar və nəqliyyat avadanlıqları, müxtəlif hazır məmulatlar, həmçinin digər kateqoriyalara daxil edilməyən mallar bölmələri üzrə nisbətən kiçik həcmli olsa da, struktur baxımından strateji əhəmiyyət kəsb edən dinamika müşahidə edilir. Maşın və nəqliyyat avadanlıqlarının ixracı 2015-ci ildə 208,7 milyon dollardan 2017–2020-ci illərdə aşağı hədlərə enmiş, lakin 2022-ci ildə 161,4 milyon dollara, 2023-cü ildə 319,6 milyon dollara, 2024-cü ildə isə 450,9 milyon dollara yüksəlmişdir ki, bu da nəqliyyat-logistika xidmətləri, təkrar ixrac əməliyyatları və məhdud həcmli istehsal güclərinin artımı ilə əlaqələndirilə bilər. Müxtəlif hazır məmulatların ixracında da 2018-ci ildən sonra müşahidə edilən dalğalanmalara baxmayaraq, 2023-cü ildə 45,2 milyon dollar həddinə yüksəliş qeyri-neft emalının strukturda iştirakının dərinləşməsi baxımından diqqətəlayiqdir.​</w:t>
      </w:r>
    </w:p>
    <w:p w14:paraId="39E281D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Ümumi qiymətləndirmə göstərir ki, 2015–2024-cü illər dövründə Azərbaycanın ixrac strukturunda mineral yanacağın dominantlığı qorunmaqla yanaşı qeyri-neft məhsul qruplarının, xüsusən yeyinti məhsulları, kimyəvi mallar, sənaye materialları və müəyyən dərəcədə maşın və nəqliyyat avadanlıqlarının payının artım meyli formalaşmışdır. Bu meyl orta və uzun müddətli perspektivdə ixracın diversifikasiyası, əlavə dəyəri yüksək məhsul istehsalı, texnoloji modernizasiya və sənaye kooperasiyası baxımından institusional siyasətin prioritet istiqamətlərini müəyyənləşdirir və xarici ticarət dövriyyəsinin dayanıqlılıq potensialını gücləndirən əsas struktur baza kimi çıxış edir.</w:t>
      </w:r>
    </w:p>
    <w:p w14:paraId="419CAA1E" w14:textId="77777777" w:rsidR="001F6AF2" w:rsidRDefault="00000000">
      <w:pPr>
        <w:spacing w:after="0" w:line="360" w:lineRule="auto"/>
        <w:ind w:firstLine="709"/>
        <w:jc w:val="right"/>
        <w:rPr>
          <w:rFonts w:ascii="Times New Roman" w:hAnsi="Times New Roman" w:cs="Times New Roman"/>
          <w:b/>
          <w:bCs/>
          <w:sz w:val="28"/>
          <w:szCs w:val="28"/>
          <w:lang w:val="tr-TR"/>
        </w:rPr>
      </w:pPr>
      <w:r>
        <w:rPr>
          <w:rFonts w:ascii="Times New Roman" w:hAnsi="Times New Roman" w:cs="Times New Roman"/>
          <w:b/>
          <w:bCs/>
          <w:sz w:val="28"/>
          <w:szCs w:val="28"/>
          <w:lang w:val="tr-TR"/>
        </w:rPr>
        <w:t>Cədvəl 2.3</w:t>
      </w:r>
    </w:p>
    <w:p w14:paraId="32370888" w14:textId="77777777" w:rsidR="001F6AF2" w:rsidRDefault="00000000">
      <w:pPr>
        <w:spacing w:after="0" w:line="360" w:lineRule="auto"/>
        <w:ind w:firstLine="709"/>
        <w:jc w:val="center"/>
        <w:rPr>
          <w:rFonts w:ascii="Times New Roman" w:hAnsi="Times New Roman" w:cs="Times New Roman"/>
          <w:b/>
          <w:bCs/>
          <w:sz w:val="28"/>
          <w:szCs w:val="28"/>
          <w:lang w:val="tr-TR"/>
        </w:rPr>
      </w:pPr>
      <w:r>
        <w:rPr>
          <w:rFonts w:ascii="Times New Roman" w:hAnsi="Times New Roman" w:cs="Times New Roman"/>
          <w:b/>
          <w:bCs/>
          <w:sz w:val="28"/>
          <w:szCs w:val="28"/>
          <w:lang w:val="tr-TR"/>
        </w:rPr>
        <w:t>Beynəlxalq Standart Ticarət Təsnifatı üzrə ixracın quruluşu (min ABŞ dolları)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55"/>
        <w:gridCol w:w="568"/>
        <w:gridCol w:w="493"/>
        <w:gridCol w:w="841"/>
        <w:gridCol w:w="841"/>
        <w:gridCol w:w="841"/>
        <w:gridCol w:w="841"/>
        <w:gridCol w:w="841"/>
        <w:gridCol w:w="841"/>
        <w:gridCol w:w="841"/>
        <w:gridCol w:w="841"/>
      </w:tblGrid>
      <w:tr w:rsidR="001F6AF2" w14:paraId="576D3B80" w14:textId="77777777">
        <w:trPr>
          <w:trHeight w:val="600"/>
        </w:trPr>
        <w:tc>
          <w:tcPr>
            <w:tcW w:w="832" w:type="pct"/>
            <w:vAlign w:val="center"/>
          </w:tcPr>
          <w:p w14:paraId="044F15C3"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Məhsul bölmələri</w:t>
            </w:r>
          </w:p>
        </w:tc>
        <w:tc>
          <w:tcPr>
            <w:tcW w:w="304" w:type="pct"/>
            <w:noWrap/>
            <w:vAlign w:val="center"/>
          </w:tcPr>
          <w:p w14:paraId="690290D6"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2015</w:t>
            </w:r>
          </w:p>
        </w:tc>
        <w:tc>
          <w:tcPr>
            <w:tcW w:w="264" w:type="pct"/>
            <w:noWrap/>
            <w:vAlign w:val="center"/>
          </w:tcPr>
          <w:p w14:paraId="227B4805"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2016</w:t>
            </w:r>
          </w:p>
        </w:tc>
        <w:tc>
          <w:tcPr>
            <w:tcW w:w="450" w:type="pct"/>
            <w:noWrap/>
            <w:vAlign w:val="center"/>
          </w:tcPr>
          <w:p w14:paraId="6E86BF55"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2017</w:t>
            </w:r>
          </w:p>
        </w:tc>
        <w:tc>
          <w:tcPr>
            <w:tcW w:w="450" w:type="pct"/>
            <w:noWrap/>
            <w:vAlign w:val="center"/>
          </w:tcPr>
          <w:p w14:paraId="4266FFB6"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2018</w:t>
            </w:r>
          </w:p>
        </w:tc>
        <w:tc>
          <w:tcPr>
            <w:tcW w:w="450" w:type="pct"/>
            <w:noWrap/>
            <w:vAlign w:val="center"/>
          </w:tcPr>
          <w:p w14:paraId="046CCF40"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2019</w:t>
            </w:r>
          </w:p>
        </w:tc>
        <w:tc>
          <w:tcPr>
            <w:tcW w:w="450" w:type="pct"/>
            <w:noWrap/>
            <w:vAlign w:val="center"/>
          </w:tcPr>
          <w:p w14:paraId="5D576D77"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2020</w:t>
            </w:r>
          </w:p>
        </w:tc>
        <w:tc>
          <w:tcPr>
            <w:tcW w:w="450" w:type="pct"/>
            <w:noWrap/>
            <w:vAlign w:val="center"/>
          </w:tcPr>
          <w:p w14:paraId="7E0F564D"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2021</w:t>
            </w:r>
          </w:p>
        </w:tc>
        <w:tc>
          <w:tcPr>
            <w:tcW w:w="450" w:type="pct"/>
            <w:noWrap/>
            <w:vAlign w:val="center"/>
          </w:tcPr>
          <w:p w14:paraId="2D6ED3A4"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2022</w:t>
            </w:r>
          </w:p>
        </w:tc>
        <w:tc>
          <w:tcPr>
            <w:tcW w:w="450" w:type="pct"/>
            <w:noWrap/>
            <w:vAlign w:val="center"/>
          </w:tcPr>
          <w:p w14:paraId="0FBA043C"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2023</w:t>
            </w:r>
          </w:p>
        </w:tc>
        <w:tc>
          <w:tcPr>
            <w:tcW w:w="450" w:type="pct"/>
            <w:noWrap/>
            <w:vAlign w:val="center"/>
          </w:tcPr>
          <w:p w14:paraId="6E413A7A"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2024</w:t>
            </w:r>
          </w:p>
        </w:tc>
      </w:tr>
      <w:tr w:rsidR="001F6AF2" w14:paraId="7021EFF1" w14:textId="77777777">
        <w:trPr>
          <w:trHeight w:val="300"/>
        </w:trPr>
        <w:tc>
          <w:tcPr>
            <w:tcW w:w="832" w:type="pct"/>
            <w:vAlign w:val="bottom"/>
          </w:tcPr>
          <w:p w14:paraId="14908DF8"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Cəmi</w:t>
            </w:r>
          </w:p>
        </w:tc>
        <w:tc>
          <w:tcPr>
            <w:tcW w:w="304" w:type="pct"/>
            <w:noWrap/>
            <w:vAlign w:val="bottom"/>
          </w:tcPr>
          <w:p w14:paraId="08A32F39"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12.729.138,5</w:t>
            </w:r>
          </w:p>
        </w:tc>
        <w:tc>
          <w:tcPr>
            <w:tcW w:w="264" w:type="pct"/>
            <w:noWrap/>
            <w:vAlign w:val="bottom"/>
          </w:tcPr>
          <w:p w14:paraId="77576629"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13.457.592,1</w:t>
            </w:r>
          </w:p>
        </w:tc>
        <w:tc>
          <w:tcPr>
            <w:tcW w:w="450" w:type="pct"/>
            <w:noWrap/>
            <w:vAlign w:val="bottom"/>
          </w:tcPr>
          <w:p w14:paraId="6EF72588"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15.319.977,1</w:t>
            </w:r>
          </w:p>
        </w:tc>
        <w:tc>
          <w:tcPr>
            <w:tcW w:w="450" w:type="pct"/>
            <w:noWrap/>
            <w:vAlign w:val="bottom"/>
          </w:tcPr>
          <w:p w14:paraId="1A67CF50"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19.489.068,2</w:t>
            </w:r>
          </w:p>
        </w:tc>
        <w:tc>
          <w:tcPr>
            <w:tcW w:w="450" w:type="pct"/>
            <w:noWrap/>
            <w:vAlign w:val="bottom"/>
          </w:tcPr>
          <w:p w14:paraId="1B89021D"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19.635.202,8</w:t>
            </w:r>
          </w:p>
        </w:tc>
        <w:tc>
          <w:tcPr>
            <w:tcW w:w="450" w:type="pct"/>
            <w:noWrap/>
            <w:vAlign w:val="bottom"/>
          </w:tcPr>
          <w:p w14:paraId="7222C209"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13.732.637,3</w:t>
            </w:r>
          </w:p>
        </w:tc>
        <w:tc>
          <w:tcPr>
            <w:tcW w:w="450" w:type="pct"/>
            <w:noWrap/>
            <w:vAlign w:val="bottom"/>
          </w:tcPr>
          <w:p w14:paraId="3A7AD99E"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22.207.974,8</w:t>
            </w:r>
          </w:p>
        </w:tc>
        <w:tc>
          <w:tcPr>
            <w:tcW w:w="450" w:type="pct"/>
            <w:noWrap/>
            <w:vAlign w:val="bottom"/>
          </w:tcPr>
          <w:p w14:paraId="15FB501A"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38.146.684,1</w:t>
            </w:r>
          </w:p>
        </w:tc>
        <w:tc>
          <w:tcPr>
            <w:tcW w:w="450" w:type="pct"/>
            <w:noWrap/>
            <w:vAlign w:val="bottom"/>
          </w:tcPr>
          <w:p w14:paraId="653CB6C8"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33.898.554,9</w:t>
            </w:r>
          </w:p>
        </w:tc>
        <w:tc>
          <w:tcPr>
            <w:tcW w:w="450" w:type="pct"/>
            <w:noWrap/>
            <w:vAlign w:val="bottom"/>
          </w:tcPr>
          <w:p w14:paraId="653CFF7B"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26.554.056,8</w:t>
            </w:r>
          </w:p>
        </w:tc>
      </w:tr>
      <w:tr w:rsidR="001F6AF2" w14:paraId="2C8CCEB6" w14:textId="77777777">
        <w:trPr>
          <w:gridAfter w:val="10"/>
          <w:wAfter w:w="4168" w:type="pct"/>
          <w:trHeight w:val="300"/>
        </w:trPr>
        <w:tc>
          <w:tcPr>
            <w:tcW w:w="832" w:type="pct"/>
            <w:vAlign w:val="bottom"/>
          </w:tcPr>
          <w:p w14:paraId="60FEDDB8"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o cümlədən:</w:t>
            </w:r>
          </w:p>
        </w:tc>
      </w:tr>
      <w:tr w:rsidR="001F6AF2" w14:paraId="260ADF3F" w14:textId="77777777">
        <w:trPr>
          <w:trHeight w:val="300"/>
        </w:trPr>
        <w:tc>
          <w:tcPr>
            <w:tcW w:w="832" w:type="pct"/>
            <w:vAlign w:val="bottom"/>
          </w:tcPr>
          <w:p w14:paraId="30E2E10D"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Yeyinti məhsulları və diri heyvanlar</w:t>
            </w:r>
          </w:p>
        </w:tc>
        <w:tc>
          <w:tcPr>
            <w:tcW w:w="304" w:type="pct"/>
            <w:noWrap/>
            <w:vAlign w:val="bottom"/>
          </w:tcPr>
          <w:p w14:paraId="0AE08DC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625.091,4</w:t>
            </w:r>
          </w:p>
        </w:tc>
        <w:tc>
          <w:tcPr>
            <w:tcW w:w="264" w:type="pct"/>
            <w:noWrap/>
            <w:vAlign w:val="bottom"/>
          </w:tcPr>
          <w:p w14:paraId="63AB23B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478.189,5</w:t>
            </w:r>
          </w:p>
        </w:tc>
        <w:tc>
          <w:tcPr>
            <w:tcW w:w="450" w:type="pct"/>
            <w:noWrap/>
            <w:vAlign w:val="bottom"/>
          </w:tcPr>
          <w:p w14:paraId="378708D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601.437,8</w:t>
            </w:r>
          </w:p>
        </w:tc>
        <w:tc>
          <w:tcPr>
            <w:tcW w:w="450" w:type="pct"/>
            <w:noWrap/>
            <w:vAlign w:val="bottom"/>
          </w:tcPr>
          <w:p w14:paraId="5269F6C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650.448,7</w:t>
            </w:r>
          </w:p>
        </w:tc>
        <w:tc>
          <w:tcPr>
            <w:tcW w:w="450" w:type="pct"/>
            <w:noWrap/>
            <w:vAlign w:val="bottom"/>
          </w:tcPr>
          <w:p w14:paraId="462CA9E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709.570,9</w:t>
            </w:r>
          </w:p>
        </w:tc>
        <w:tc>
          <w:tcPr>
            <w:tcW w:w="450" w:type="pct"/>
            <w:noWrap/>
            <w:vAlign w:val="bottom"/>
          </w:tcPr>
          <w:p w14:paraId="3A7FB21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704.244,5</w:t>
            </w:r>
          </w:p>
        </w:tc>
        <w:tc>
          <w:tcPr>
            <w:tcW w:w="450" w:type="pct"/>
            <w:noWrap/>
            <w:vAlign w:val="bottom"/>
          </w:tcPr>
          <w:p w14:paraId="4FDF7FF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743.969,7</w:t>
            </w:r>
          </w:p>
        </w:tc>
        <w:tc>
          <w:tcPr>
            <w:tcW w:w="450" w:type="pct"/>
            <w:noWrap/>
            <w:vAlign w:val="bottom"/>
          </w:tcPr>
          <w:p w14:paraId="4C3CB9E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812.203,8</w:t>
            </w:r>
          </w:p>
        </w:tc>
        <w:tc>
          <w:tcPr>
            <w:tcW w:w="450" w:type="pct"/>
            <w:noWrap/>
            <w:vAlign w:val="bottom"/>
          </w:tcPr>
          <w:p w14:paraId="50B50CA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854.393,8</w:t>
            </w:r>
          </w:p>
        </w:tc>
        <w:tc>
          <w:tcPr>
            <w:tcW w:w="450" w:type="pct"/>
            <w:noWrap/>
            <w:vAlign w:val="bottom"/>
          </w:tcPr>
          <w:p w14:paraId="4CB3BA9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940.069,1</w:t>
            </w:r>
          </w:p>
        </w:tc>
      </w:tr>
      <w:tr w:rsidR="001F6AF2" w14:paraId="79370370" w14:textId="77777777">
        <w:trPr>
          <w:trHeight w:val="300"/>
        </w:trPr>
        <w:tc>
          <w:tcPr>
            <w:tcW w:w="832" w:type="pct"/>
            <w:vAlign w:val="bottom"/>
          </w:tcPr>
          <w:p w14:paraId="0A232EEF"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İçkilər və tütün</w:t>
            </w:r>
          </w:p>
        </w:tc>
        <w:tc>
          <w:tcPr>
            <w:tcW w:w="304" w:type="pct"/>
            <w:noWrap/>
            <w:vAlign w:val="bottom"/>
          </w:tcPr>
          <w:p w14:paraId="02CC3F6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35.235,8</w:t>
            </w:r>
          </w:p>
        </w:tc>
        <w:tc>
          <w:tcPr>
            <w:tcW w:w="264" w:type="pct"/>
            <w:noWrap/>
            <w:vAlign w:val="bottom"/>
          </w:tcPr>
          <w:p w14:paraId="70A8E4D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27.615,2</w:t>
            </w:r>
          </w:p>
        </w:tc>
        <w:tc>
          <w:tcPr>
            <w:tcW w:w="450" w:type="pct"/>
            <w:noWrap/>
            <w:vAlign w:val="bottom"/>
          </w:tcPr>
          <w:p w14:paraId="1A604CE7"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37.227,1</w:t>
            </w:r>
          </w:p>
        </w:tc>
        <w:tc>
          <w:tcPr>
            <w:tcW w:w="450" w:type="pct"/>
            <w:noWrap/>
            <w:vAlign w:val="bottom"/>
          </w:tcPr>
          <w:p w14:paraId="7B72EBE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29.798,8</w:t>
            </w:r>
          </w:p>
        </w:tc>
        <w:tc>
          <w:tcPr>
            <w:tcW w:w="450" w:type="pct"/>
            <w:noWrap/>
            <w:vAlign w:val="bottom"/>
          </w:tcPr>
          <w:p w14:paraId="02D08FF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38.981,4</w:t>
            </w:r>
          </w:p>
        </w:tc>
        <w:tc>
          <w:tcPr>
            <w:tcW w:w="450" w:type="pct"/>
            <w:noWrap/>
            <w:vAlign w:val="bottom"/>
          </w:tcPr>
          <w:p w14:paraId="162F3C8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26.699,2</w:t>
            </w:r>
          </w:p>
        </w:tc>
        <w:tc>
          <w:tcPr>
            <w:tcW w:w="450" w:type="pct"/>
            <w:noWrap/>
            <w:vAlign w:val="bottom"/>
          </w:tcPr>
          <w:p w14:paraId="2D31424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30.646,0</w:t>
            </w:r>
          </w:p>
        </w:tc>
        <w:tc>
          <w:tcPr>
            <w:tcW w:w="450" w:type="pct"/>
            <w:noWrap/>
            <w:vAlign w:val="bottom"/>
          </w:tcPr>
          <w:p w14:paraId="55C7D88F"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56.221,9</w:t>
            </w:r>
          </w:p>
        </w:tc>
        <w:tc>
          <w:tcPr>
            <w:tcW w:w="450" w:type="pct"/>
            <w:noWrap/>
            <w:vAlign w:val="bottom"/>
          </w:tcPr>
          <w:p w14:paraId="6ECBC61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81.375,0</w:t>
            </w:r>
          </w:p>
        </w:tc>
        <w:tc>
          <w:tcPr>
            <w:tcW w:w="450" w:type="pct"/>
            <w:noWrap/>
            <w:vAlign w:val="bottom"/>
          </w:tcPr>
          <w:p w14:paraId="1A7AEF3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125.242,0</w:t>
            </w:r>
          </w:p>
        </w:tc>
      </w:tr>
      <w:tr w:rsidR="001F6AF2" w14:paraId="52262DD2" w14:textId="77777777">
        <w:trPr>
          <w:trHeight w:val="300"/>
        </w:trPr>
        <w:tc>
          <w:tcPr>
            <w:tcW w:w="832" w:type="pct"/>
            <w:vAlign w:val="bottom"/>
          </w:tcPr>
          <w:p w14:paraId="4E8BDB52"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Qeyri-ərzaq xammalı (yanacaqdan başqa)</w:t>
            </w:r>
          </w:p>
        </w:tc>
        <w:tc>
          <w:tcPr>
            <w:tcW w:w="304" w:type="pct"/>
            <w:noWrap/>
            <w:vAlign w:val="bottom"/>
          </w:tcPr>
          <w:p w14:paraId="6669A78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25.748,2</w:t>
            </w:r>
          </w:p>
        </w:tc>
        <w:tc>
          <w:tcPr>
            <w:tcW w:w="264" w:type="pct"/>
            <w:noWrap/>
            <w:vAlign w:val="bottom"/>
          </w:tcPr>
          <w:p w14:paraId="7E4D2F4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45.241,8</w:t>
            </w:r>
          </w:p>
        </w:tc>
        <w:tc>
          <w:tcPr>
            <w:tcW w:w="450" w:type="pct"/>
            <w:noWrap/>
            <w:vAlign w:val="bottom"/>
          </w:tcPr>
          <w:p w14:paraId="721C7277"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79.011,7</w:t>
            </w:r>
          </w:p>
        </w:tc>
        <w:tc>
          <w:tcPr>
            <w:tcW w:w="450" w:type="pct"/>
            <w:noWrap/>
            <w:vAlign w:val="bottom"/>
          </w:tcPr>
          <w:p w14:paraId="486022CF"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125.178,0</w:t>
            </w:r>
          </w:p>
        </w:tc>
        <w:tc>
          <w:tcPr>
            <w:tcW w:w="450" w:type="pct"/>
            <w:noWrap/>
            <w:vAlign w:val="bottom"/>
          </w:tcPr>
          <w:p w14:paraId="2B24487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171.594,3</w:t>
            </w:r>
          </w:p>
        </w:tc>
        <w:tc>
          <w:tcPr>
            <w:tcW w:w="450" w:type="pct"/>
            <w:noWrap/>
            <w:vAlign w:val="bottom"/>
          </w:tcPr>
          <w:p w14:paraId="29FD2BA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178.303,5</w:t>
            </w:r>
          </w:p>
        </w:tc>
        <w:tc>
          <w:tcPr>
            <w:tcW w:w="450" w:type="pct"/>
            <w:noWrap/>
            <w:vAlign w:val="bottom"/>
          </w:tcPr>
          <w:p w14:paraId="7080ED3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270.205,2</w:t>
            </w:r>
          </w:p>
        </w:tc>
        <w:tc>
          <w:tcPr>
            <w:tcW w:w="450" w:type="pct"/>
            <w:noWrap/>
            <w:vAlign w:val="bottom"/>
          </w:tcPr>
          <w:p w14:paraId="1D18B291"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247.761,5</w:t>
            </w:r>
          </w:p>
        </w:tc>
        <w:tc>
          <w:tcPr>
            <w:tcW w:w="450" w:type="pct"/>
            <w:noWrap/>
            <w:vAlign w:val="bottom"/>
          </w:tcPr>
          <w:p w14:paraId="5787340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186.306,8</w:t>
            </w:r>
          </w:p>
        </w:tc>
        <w:tc>
          <w:tcPr>
            <w:tcW w:w="450" w:type="pct"/>
            <w:noWrap/>
            <w:vAlign w:val="bottom"/>
          </w:tcPr>
          <w:p w14:paraId="78E3B1B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233.738,7</w:t>
            </w:r>
          </w:p>
        </w:tc>
      </w:tr>
      <w:tr w:rsidR="001F6AF2" w14:paraId="3E563236" w14:textId="77777777">
        <w:trPr>
          <w:trHeight w:val="300"/>
        </w:trPr>
        <w:tc>
          <w:tcPr>
            <w:tcW w:w="832" w:type="pct"/>
            <w:vAlign w:val="bottom"/>
          </w:tcPr>
          <w:p w14:paraId="1DB8B7DE"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Mineral yanacaq, sürtkü yağları, analoji materiallar</w:t>
            </w:r>
          </w:p>
        </w:tc>
        <w:tc>
          <w:tcPr>
            <w:tcW w:w="304" w:type="pct"/>
            <w:noWrap/>
            <w:vAlign w:val="bottom"/>
          </w:tcPr>
          <w:p w14:paraId="52728CA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11.187.119,5</w:t>
            </w:r>
          </w:p>
        </w:tc>
        <w:tc>
          <w:tcPr>
            <w:tcW w:w="264" w:type="pct"/>
            <w:noWrap/>
            <w:vAlign w:val="bottom"/>
          </w:tcPr>
          <w:p w14:paraId="0F8B983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12.270.160,4</w:t>
            </w:r>
          </w:p>
        </w:tc>
        <w:tc>
          <w:tcPr>
            <w:tcW w:w="450" w:type="pct"/>
            <w:noWrap/>
            <w:vAlign w:val="bottom"/>
          </w:tcPr>
          <w:p w14:paraId="795A9DB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13.867.052,3</w:t>
            </w:r>
          </w:p>
        </w:tc>
        <w:tc>
          <w:tcPr>
            <w:tcW w:w="450" w:type="pct"/>
            <w:noWrap/>
            <w:vAlign w:val="bottom"/>
          </w:tcPr>
          <w:p w14:paraId="2461505F"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17.878.567,4</w:t>
            </w:r>
          </w:p>
        </w:tc>
        <w:tc>
          <w:tcPr>
            <w:tcW w:w="450" w:type="pct"/>
            <w:noWrap/>
            <w:vAlign w:val="bottom"/>
          </w:tcPr>
          <w:p w14:paraId="44550CB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17.800.170,6</w:t>
            </w:r>
          </w:p>
        </w:tc>
        <w:tc>
          <w:tcPr>
            <w:tcW w:w="450" w:type="pct"/>
            <w:noWrap/>
            <w:vAlign w:val="bottom"/>
          </w:tcPr>
          <w:p w14:paraId="0DD6089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11.981.306,1</w:t>
            </w:r>
          </w:p>
        </w:tc>
        <w:tc>
          <w:tcPr>
            <w:tcW w:w="450" w:type="pct"/>
            <w:noWrap/>
            <w:vAlign w:val="bottom"/>
          </w:tcPr>
          <w:p w14:paraId="6714A4E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19.634.974,1</w:t>
            </w:r>
          </w:p>
        </w:tc>
        <w:tc>
          <w:tcPr>
            <w:tcW w:w="450" w:type="pct"/>
            <w:noWrap/>
            <w:vAlign w:val="bottom"/>
          </w:tcPr>
          <w:p w14:paraId="1E08260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35.299.892,2</w:t>
            </w:r>
          </w:p>
        </w:tc>
        <w:tc>
          <w:tcPr>
            <w:tcW w:w="450" w:type="pct"/>
            <w:noWrap/>
            <w:vAlign w:val="bottom"/>
          </w:tcPr>
          <w:p w14:paraId="39A71BF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31.017.134,5</w:t>
            </w:r>
          </w:p>
        </w:tc>
        <w:tc>
          <w:tcPr>
            <w:tcW w:w="450" w:type="pct"/>
            <w:noWrap/>
            <w:vAlign w:val="bottom"/>
          </w:tcPr>
          <w:p w14:paraId="5AE92C5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23.361.867,7</w:t>
            </w:r>
          </w:p>
        </w:tc>
      </w:tr>
      <w:tr w:rsidR="001F6AF2" w14:paraId="7DFB4A78" w14:textId="77777777">
        <w:trPr>
          <w:trHeight w:val="300"/>
        </w:trPr>
        <w:tc>
          <w:tcPr>
            <w:tcW w:w="832" w:type="pct"/>
            <w:vAlign w:val="bottom"/>
          </w:tcPr>
          <w:p w14:paraId="0BD11517"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Heyvan və bitki mənşəli yağlar, piylər və mumlar</w:t>
            </w:r>
          </w:p>
        </w:tc>
        <w:tc>
          <w:tcPr>
            <w:tcW w:w="304" w:type="pct"/>
            <w:noWrap/>
            <w:vAlign w:val="bottom"/>
          </w:tcPr>
          <w:p w14:paraId="6F22D42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105.488,8</w:t>
            </w:r>
          </w:p>
        </w:tc>
        <w:tc>
          <w:tcPr>
            <w:tcW w:w="264" w:type="pct"/>
            <w:noWrap/>
            <w:vAlign w:val="bottom"/>
          </w:tcPr>
          <w:p w14:paraId="2632540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14.175,9</w:t>
            </w:r>
          </w:p>
        </w:tc>
        <w:tc>
          <w:tcPr>
            <w:tcW w:w="450" w:type="pct"/>
            <w:noWrap/>
            <w:vAlign w:val="bottom"/>
          </w:tcPr>
          <w:p w14:paraId="73CE8BA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14.456,1</w:t>
            </w:r>
          </w:p>
        </w:tc>
        <w:tc>
          <w:tcPr>
            <w:tcW w:w="450" w:type="pct"/>
            <w:noWrap/>
            <w:vAlign w:val="bottom"/>
          </w:tcPr>
          <w:p w14:paraId="55D049D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14.042,1</w:t>
            </w:r>
          </w:p>
        </w:tc>
        <w:tc>
          <w:tcPr>
            <w:tcW w:w="450" w:type="pct"/>
            <w:noWrap/>
            <w:vAlign w:val="bottom"/>
          </w:tcPr>
          <w:p w14:paraId="32AE156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14.844,1</w:t>
            </w:r>
          </w:p>
        </w:tc>
        <w:tc>
          <w:tcPr>
            <w:tcW w:w="450" w:type="pct"/>
            <w:noWrap/>
            <w:vAlign w:val="bottom"/>
          </w:tcPr>
          <w:p w14:paraId="5B78B94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20.511,0</w:t>
            </w:r>
          </w:p>
        </w:tc>
        <w:tc>
          <w:tcPr>
            <w:tcW w:w="450" w:type="pct"/>
            <w:noWrap/>
            <w:vAlign w:val="bottom"/>
          </w:tcPr>
          <w:p w14:paraId="4168F25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27.868,3</w:t>
            </w:r>
          </w:p>
        </w:tc>
        <w:tc>
          <w:tcPr>
            <w:tcW w:w="450" w:type="pct"/>
            <w:noWrap/>
            <w:vAlign w:val="bottom"/>
          </w:tcPr>
          <w:p w14:paraId="7225149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26.573,0</w:t>
            </w:r>
          </w:p>
        </w:tc>
        <w:tc>
          <w:tcPr>
            <w:tcW w:w="450" w:type="pct"/>
            <w:noWrap/>
            <w:vAlign w:val="bottom"/>
          </w:tcPr>
          <w:p w14:paraId="1393FF2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16.700,3</w:t>
            </w:r>
          </w:p>
        </w:tc>
        <w:tc>
          <w:tcPr>
            <w:tcW w:w="450" w:type="pct"/>
            <w:noWrap/>
            <w:vAlign w:val="bottom"/>
          </w:tcPr>
          <w:p w14:paraId="2FAF9531"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20.258,7</w:t>
            </w:r>
          </w:p>
        </w:tc>
      </w:tr>
      <w:tr w:rsidR="001F6AF2" w14:paraId="128516D0" w14:textId="77777777">
        <w:trPr>
          <w:trHeight w:val="600"/>
        </w:trPr>
        <w:tc>
          <w:tcPr>
            <w:tcW w:w="832" w:type="pct"/>
            <w:vAlign w:val="bottom"/>
          </w:tcPr>
          <w:p w14:paraId="2C64DD59"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Kimyəvi mallar və digər kateqoriyalara daxil edilməyən analoji məhsullar</w:t>
            </w:r>
          </w:p>
        </w:tc>
        <w:tc>
          <w:tcPr>
            <w:tcW w:w="304" w:type="pct"/>
            <w:noWrap/>
            <w:vAlign w:val="bottom"/>
          </w:tcPr>
          <w:p w14:paraId="348C6DA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190.245,4</w:t>
            </w:r>
          </w:p>
        </w:tc>
        <w:tc>
          <w:tcPr>
            <w:tcW w:w="264" w:type="pct"/>
            <w:noWrap/>
            <w:vAlign w:val="bottom"/>
          </w:tcPr>
          <w:p w14:paraId="0A56B29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153.199,6</w:t>
            </w:r>
          </w:p>
        </w:tc>
        <w:tc>
          <w:tcPr>
            <w:tcW w:w="450" w:type="pct"/>
            <w:noWrap/>
            <w:vAlign w:val="bottom"/>
          </w:tcPr>
          <w:p w14:paraId="3B0D794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178.752,5</w:t>
            </w:r>
          </w:p>
        </w:tc>
        <w:tc>
          <w:tcPr>
            <w:tcW w:w="450" w:type="pct"/>
            <w:noWrap/>
            <w:vAlign w:val="bottom"/>
          </w:tcPr>
          <w:p w14:paraId="0EF1BA3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194.663,8</w:t>
            </w:r>
          </w:p>
        </w:tc>
        <w:tc>
          <w:tcPr>
            <w:tcW w:w="450" w:type="pct"/>
            <w:noWrap/>
            <w:vAlign w:val="bottom"/>
          </w:tcPr>
          <w:p w14:paraId="6A8260C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279.528,8</w:t>
            </w:r>
          </w:p>
        </w:tc>
        <w:tc>
          <w:tcPr>
            <w:tcW w:w="450" w:type="pct"/>
            <w:noWrap/>
            <w:vAlign w:val="bottom"/>
          </w:tcPr>
          <w:p w14:paraId="26C8332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246.220,9</w:t>
            </w:r>
          </w:p>
        </w:tc>
        <w:tc>
          <w:tcPr>
            <w:tcW w:w="450" w:type="pct"/>
            <w:noWrap/>
            <w:vAlign w:val="bottom"/>
          </w:tcPr>
          <w:p w14:paraId="695F05C1"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681.962,5</w:t>
            </w:r>
          </w:p>
        </w:tc>
        <w:tc>
          <w:tcPr>
            <w:tcW w:w="450" w:type="pct"/>
            <w:noWrap/>
            <w:vAlign w:val="bottom"/>
          </w:tcPr>
          <w:p w14:paraId="7D6CABD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766.975,7</w:t>
            </w:r>
          </w:p>
        </w:tc>
        <w:tc>
          <w:tcPr>
            <w:tcW w:w="450" w:type="pct"/>
            <w:noWrap/>
            <w:vAlign w:val="bottom"/>
          </w:tcPr>
          <w:p w14:paraId="4D09DC3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702.628,1</w:t>
            </w:r>
          </w:p>
        </w:tc>
        <w:tc>
          <w:tcPr>
            <w:tcW w:w="450" w:type="pct"/>
            <w:noWrap/>
            <w:vAlign w:val="bottom"/>
          </w:tcPr>
          <w:p w14:paraId="0E529E0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657.227,3</w:t>
            </w:r>
          </w:p>
        </w:tc>
      </w:tr>
      <w:tr w:rsidR="001F6AF2" w14:paraId="5B0EB97C" w14:textId="77777777">
        <w:trPr>
          <w:trHeight w:val="600"/>
        </w:trPr>
        <w:tc>
          <w:tcPr>
            <w:tcW w:w="832" w:type="pct"/>
            <w:vAlign w:val="bottom"/>
          </w:tcPr>
          <w:p w14:paraId="16C8D9BF"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 xml:space="preserve">Əsasən materialın növünə görə təsnifləşdirilən sənaye malları </w:t>
            </w:r>
          </w:p>
        </w:tc>
        <w:tc>
          <w:tcPr>
            <w:tcW w:w="304" w:type="pct"/>
            <w:noWrap/>
            <w:vAlign w:val="bottom"/>
          </w:tcPr>
          <w:p w14:paraId="32561FFF"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179.767,3</w:t>
            </w:r>
          </w:p>
        </w:tc>
        <w:tc>
          <w:tcPr>
            <w:tcW w:w="264" w:type="pct"/>
            <w:noWrap/>
            <w:vAlign w:val="bottom"/>
          </w:tcPr>
          <w:p w14:paraId="2D16488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273.667,3</w:t>
            </w:r>
          </w:p>
        </w:tc>
        <w:tc>
          <w:tcPr>
            <w:tcW w:w="450" w:type="pct"/>
            <w:noWrap/>
            <w:vAlign w:val="bottom"/>
          </w:tcPr>
          <w:p w14:paraId="4AE993E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323.423,2</w:t>
            </w:r>
          </w:p>
        </w:tc>
        <w:tc>
          <w:tcPr>
            <w:tcW w:w="450" w:type="pct"/>
            <w:noWrap/>
            <w:vAlign w:val="bottom"/>
          </w:tcPr>
          <w:p w14:paraId="7DDAC59F"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338.167,7</w:t>
            </w:r>
          </w:p>
        </w:tc>
        <w:tc>
          <w:tcPr>
            <w:tcW w:w="450" w:type="pct"/>
            <w:noWrap/>
            <w:vAlign w:val="bottom"/>
          </w:tcPr>
          <w:p w14:paraId="4CDC6F61"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324.740,7</w:t>
            </w:r>
          </w:p>
        </w:tc>
        <w:tc>
          <w:tcPr>
            <w:tcW w:w="450" w:type="pct"/>
            <w:noWrap/>
            <w:vAlign w:val="bottom"/>
          </w:tcPr>
          <w:p w14:paraId="3FA9B79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283.745,0</w:t>
            </w:r>
          </w:p>
        </w:tc>
        <w:tc>
          <w:tcPr>
            <w:tcW w:w="450" w:type="pct"/>
            <w:noWrap/>
            <w:vAlign w:val="bottom"/>
          </w:tcPr>
          <w:p w14:paraId="6CF46C5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517.456,6</w:t>
            </w:r>
          </w:p>
        </w:tc>
        <w:tc>
          <w:tcPr>
            <w:tcW w:w="450" w:type="pct"/>
            <w:noWrap/>
            <w:vAlign w:val="bottom"/>
          </w:tcPr>
          <w:p w14:paraId="77ED8C6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554.227,5</w:t>
            </w:r>
          </w:p>
        </w:tc>
        <w:tc>
          <w:tcPr>
            <w:tcW w:w="450" w:type="pct"/>
            <w:noWrap/>
            <w:vAlign w:val="bottom"/>
          </w:tcPr>
          <w:p w14:paraId="6F2FAE1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512.419,8</w:t>
            </w:r>
          </w:p>
        </w:tc>
        <w:tc>
          <w:tcPr>
            <w:tcW w:w="450" w:type="pct"/>
            <w:noWrap/>
            <w:vAlign w:val="bottom"/>
          </w:tcPr>
          <w:p w14:paraId="1337B45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513.911,2</w:t>
            </w:r>
          </w:p>
        </w:tc>
      </w:tr>
      <w:tr w:rsidR="001F6AF2" w14:paraId="45367105" w14:textId="77777777">
        <w:trPr>
          <w:trHeight w:val="300"/>
        </w:trPr>
        <w:tc>
          <w:tcPr>
            <w:tcW w:w="832" w:type="pct"/>
            <w:vAlign w:val="bottom"/>
          </w:tcPr>
          <w:p w14:paraId="5EEEAD40"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Maşınlar və nəqliyyat avadanlıqları</w:t>
            </w:r>
          </w:p>
        </w:tc>
        <w:tc>
          <w:tcPr>
            <w:tcW w:w="304" w:type="pct"/>
            <w:noWrap/>
            <w:vAlign w:val="bottom"/>
          </w:tcPr>
          <w:p w14:paraId="05795CF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208.658,7</w:t>
            </w:r>
          </w:p>
        </w:tc>
        <w:tc>
          <w:tcPr>
            <w:tcW w:w="264" w:type="pct"/>
            <w:noWrap/>
            <w:vAlign w:val="bottom"/>
          </w:tcPr>
          <w:p w14:paraId="1BF08571"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103.276,0</w:t>
            </w:r>
          </w:p>
        </w:tc>
        <w:tc>
          <w:tcPr>
            <w:tcW w:w="450" w:type="pct"/>
            <w:noWrap/>
            <w:vAlign w:val="bottom"/>
          </w:tcPr>
          <w:p w14:paraId="753BF06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59.978,2</w:t>
            </w:r>
          </w:p>
        </w:tc>
        <w:tc>
          <w:tcPr>
            <w:tcW w:w="450" w:type="pct"/>
            <w:noWrap/>
            <w:vAlign w:val="bottom"/>
          </w:tcPr>
          <w:p w14:paraId="1781992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83.111,1</w:t>
            </w:r>
          </w:p>
        </w:tc>
        <w:tc>
          <w:tcPr>
            <w:tcW w:w="450" w:type="pct"/>
            <w:noWrap/>
            <w:vAlign w:val="bottom"/>
          </w:tcPr>
          <w:p w14:paraId="61DD0D7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90.015,7</w:t>
            </w:r>
          </w:p>
        </w:tc>
        <w:tc>
          <w:tcPr>
            <w:tcW w:w="450" w:type="pct"/>
            <w:noWrap/>
            <w:vAlign w:val="bottom"/>
          </w:tcPr>
          <w:p w14:paraId="785A4CB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74.042,7</w:t>
            </w:r>
          </w:p>
        </w:tc>
        <w:tc>
          <w:tcPr>
            <w:tcW w:w="450" w:type="pct"/>
            <w:noWrap/>
            <w:vAlign w:val="bottom"/>
          </w:tcPr>
          <w:p w14:paraId="3B3E1B6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62.038,3</w:t>
            </w:r>
          </w:p>
        </w:tc>
        <w:tc>
          <w:tcPr>
            <w:tcW w:w="450" w:type="pct"/>
            <w:noWrap/>
            <w:vAlign w:val="bottom"/>
          </w:tcPr>
          <w:p w14:paraId="58AE92F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161.396,4</w:t>
            </w:r>
          </w:p>
        </w:tc>
        <w:tc>
          <w:tcPr>
            <w:tcW w:w="450" w:type="pct"/>
            <w:noWrap/>
            <w:vAlign w:val="bottom"/>
          </w:tcPr>
          <w:p w14:paraId="3C49D9D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319.618,5</w:t>
            </w:r>
          </w:p>
        </w:tc>
        <w:tc>
          <w:tcPr>
            <w:tcW w:w="450" w:type="pct"/>
            <w:noWrap/>
            <w:vAlign w:val="bottom"/>
          </w:tcPr>
          <w:p w14:paraId="7835DB9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450.938,9</w:t>
            </w:r>
          </w:p>
        </w:tc>
      </w:tr>
      <w:tr w:rsidR="001F6AF2" w14:paraId="3490DFDE" w14:textId="77777777">
        <w:trPr>
          <w:trHeight w:val="300"/>
        </w:trPr>
        <w:tc>
          <w:tcPr>
            <w:tcW w:w="832" w:type="pct"/>
            <w:vAlign w:val="bottom"/>
          </w:tcPr>
          <w:p w14:paraId="549AB125"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Müxtəlif hazır məmulatlar</w:t>
            </w:r>
          </w:p>
        </w:tc>
        <w:tc>
          <w:tcPr>
            <w:tcW w:w="304" w:type="pct"/>
            <w:noWrap/>
            <w:vAlign w:val="bottom"/>
          </w:tcPr>
          <w:p w14:paraId="4D8ABA9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88.938,5</w:t>
            </w:r>
          </w:p>
        </w:tc>
        <w:tc>
          <w:tcPr>
            <w:tcW w:w="264" w:type="pct"/>
            <w:noWrap/>
            <w:vAlign w:val="bottom"/>
          </w:tcPr>
          <w:p w14:paraId="5E25577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15.258,2</w:t>
            </w:r>
          </w:p>
        </w:tc>
        <w:tc>
          <w:tcPr>
            <w:tcW w:w="450" w:type="pct"/>
            <w:noWrap/>
            <w:vAlign w:val="bottom"/>
          </w:tcPr>
          <w:p w14:paraId="5999994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19.282,1</w:t>
            </w:r>
          </w:p>
        </w:tc>
        <w:tc>
          <w:tcPr>
            <w:tcW w:w="450" w:type="pct"/>
            <w:noWrap/>
            <w:vAlign w:val="bottom"/>
          </w:tcPr>
          <w:p w14:paraId="7499BD8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29.551,9</w:t>
            </w:r>
          </w:p>
        </w:tc>
        <w:tc>
          <w:tcPr>
            <w:tcW w:w="450" w:type="pct"/>
            <w:noWrap/>
            <w:vAlign w:val="bottom"/>
          </w:tcPr>
          <w:p w14:paraId="4908357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33.418,1</w:t>
            </w:r>
          </w:p>
        </w:tc>
        <w:tc>
          <w:tcPr>
            <w:tcW w:w="450" w:type="pct"/>
            <w:noWrap/>
            <w:vAlign w:val="bottom"/>
          </w:tcPr>
          <w:p w14:paraId="5AF6E46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21.657,8</w:t>
            </w:r>
          </w:p>
        </w:tc>
        <w:tc>
          <w:tcPr>
            <w:tcW w:w="450" w:type="pct"/>
            <w:noWrap/>
            <w:vAlign w:val="bottom"/>
          </w:tcPr>
          <w:p w14:paraId="4CA6022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35.471,3</w:t>
            </w:r>
          </w:p>
        </w:tc>
        <w:tc>
          <w:tcPr>
            <w:tcW w:w="450" w:type="pct"/>
            <w:noWrap/>
            <w:vAlign w:val="bottom"/>
          </w:tcPr>
          <w:p w14:paraId="17ADD39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35.433,0</w:t>
            </w:r>
          </w:p>
        </w:tc>
        <w:tc>
          <w:tcPr>
            <w:tcW w:w="450" w:type="pct"/>
            <w:noWrap/>
            <w:vAlign w:val="bottom"/>
          </w:tcPr>
          <w:p w14:paraId="0299E7A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45.222,2</w:t>
            </w:r>
          </w:p>
        </w:tc>
        <w:tc>
          <w:tcPr>
            <w:tcW w:w="450" w:type="pct"/>
            <w:noWrap/>
            <w:vAlign w:val="bottom"/>
          </w:tcPr>
          <w:p w14:paraId="65597957"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38.894,6</w:t>
            </w:r>
          </w:p>
        </w:tc>
      </w:tr>
      <w:tr w:rsidR="001F6AF2" w14:paraId="7FF2E3BC" w14:textId="77777777">
        <w:trPr>
          <w:trHeight w:val="300"/>
        </w:trPr>
        <w:tc>
          <w:tcPr>
            <w:tcW w:w="832" w:type="pct"/>
            <w:vAlign w:val="bottom"/>
          </w:tcPr>
          <w:p w14:paraId="34E90949"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Digər kateqoriyalara daxil edilməyən mallar</w:t>
            </w:r>
          </w:p>
        </w:tc>
        <w:tc>
          <w:tcPr>
            <w:tcW w:w="304" w:type="pct"/>
            <w:noWrap/>
            <w:vAlign w:val="bottom"/>
          </w:tcPr>
          <w:p w14:paraId="6B1613D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82.844,9</w:t>
            </w:r>
          </w:p>
        </w:tc>
        <w:tc>
          <w:tcPr>
            <w:tcW w:w="264" w:type="pct"/>
            <w:noWrap/>
            <w:vAlign w:val="bottom"/>
          </w:tcPr>
          <w:p w14:paraId="4904865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76.808,2</w:t>
            </w:r>
          </w:p>
        </w:tc>
        <w:tc>
          <w:tcPr>
            <w:tcW w:w="450" w:type="pct"/>
            <w:noWrap/>
            <w:vAlign w:val="bottom"/>
          </w:tcPr>
          <w:p w14:paraId="4DA259B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139.356,1</w:t>
            </w:r>
          </w:p>
        </w:tc>
        <w:tc>
          <w:tcPr>
            <w:tcW w:w="450" w:type="pct"/>
            <w:noWrap/>
            <w:vAlign w:val="bottom"/>
          </w:tcPr>
          <w:p w14:paraId="6857F44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145.538,7</w:t>
            </w:r>
          </w:p>
        </w:tc>
        <w:tc>
          <w:tcPr>
            <w:tcW w:w="450" w:type="pct"/>
            <w:noWrap/>
            <w:vAlign w:val="bottom"/>
          </w:tcPr>
          <w:p w14:paraId="11442AB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172.338,2</w:t>
            </w:r>
          </w:p>
        </w:tc>
        <w:tc>
          <w:tcPr>
            <w:tcW w:w="450" w:type="pct"/>
            <w:noWrap/>
            <w:vAlign w:val="bottom"/>
          </w:tcPr>
          <w:p w14:paraId="7F280BF7"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195.906,6</w:t>
            </w:r>
          </w:p>
        </w:tc>
        <w:tc>
          <w:tcPr>
            <w:tcW w:w="450" w:type="pct"/>
            <w:noWrap/>
            <w:vAlign w:val="bottom"/>
          </w:tcPr>
          <w:p w14:paraId="3E60003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203.382,8</w:t>
            </w:r>
          </w:p>
        </w:tc>
        <w:tc>
          <w:tcPr>
            <w:tcW w:w="450" w:type="pct"/>
            <w:noWrap/>
            <w:vAlign w:val="bottom"/>
          </w:tcPr>
          <w:p w14:paraId="03F5E13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185.999,1</w:t>
            </w:r>
          </w:p>
        </w:tc>
        <w:tc>
          <w:tcPr>
            <w:tcW w:w="450" w:type="pct"/>
            <w:noWrap/>
            <w:vAlign w:val="bottom"/>
          </w:tcPr>
          <w:p w14:paraId="0ACE495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162.755,9</w:t>
            </w:r>
          </w:p>
        </w:tc>
        <w:tc>
          <w:tcPr>
            <w:tcW w:w="450" w:type="pct"/>
            <w:noWrap/>
            <w:vAlign w:val="bottom"/>
          </w:tcPr>
          <w:p w14:paraId="26E024D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211.908,6</w:t>
            </w:r>
          </w:p>
        </w:tc>
      </w:tr>
    </w:tbl>
    <w:p w14:paraId="24179F01"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b/>
          <w:bCs/>
          <w:sz w:val="28"/>
          <w:szCs w:val="28"/>
          <w:lang w:val="tr-TR"/>
        </w:rPr>
        <w:t>Mənbə:</w:t>
      </w:r>
      <w:r>
        <w:rPr>
          <w:rFonts w:ascii="Times New Roman" w:hAnsi="Times New Roman" w:cs="Times New Roman"/>
          <w:sz w:val="28"/>
          <w:szCs w:val="28"/>
          <w:lang w:val="tr-TR"/>
        </w:rPr>
        <w:t xml:space="preserve"> https://www.stat.gov.az/source/trade/</w:t>
      </w:r>
    </w:p>
    <w:p w14:paraId="393BBF0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2015–2024-cü illər üzrə Beynəlxalq Standart Ticarət Təsnifatı kontekstində idxalın quruluşu göstərir ki, Azərbaycan iqtisadiyyatı xarici ticarət daxilolmalarında ilk növbədə maşınlar və nəqliyyat avadanlıqlarına, materiala görə təsnifləşdirilən sənaye mallarına, həmçinin yeyinti məhsulları və kimyəvi mallara sistemli şəkildə yüksək tələbat formalaşdırmışdır. Ümumi idxal həcmi 2015-ci ildə 9,2 milyard ABŞ dollarından 2019-cu ildə 13,7 milyard dollara yüksəlmiş, pandemiya ili olan 2020-ci ildə 10,7 milyard dollara qədər azalmış, sonrakı mərhələdə isə artım bərpa edilərək 2024-cü ildə 21,1 milyard dollar səviyyəsinə çatmışdır ki, bu dinamika daxili istehlakın genişlənməsi, investisiya mallarına tələbin artması və postpandemiya dövründə iqtisadi aktivliyin intensivləşməsi ilə bağlıdır.​</w:t>
      </w:r>
    </w:p>
    <w:p w14:paraId="441B7ACE"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Yeyinti məhsulları və diri heyvanlar bölməsi üzrə idxal həcmləri ərzaq təhlükəsizliyi və daxili bazarın təminat strukturunun mühüm xüsusiyyətlərini nümayiş etdirir. 2015-ci ildə 910,5 milyon dollar təşkil edən idxal 2017-ci ildə 1,28 milyard dollara, 2019-cu ildə 1,56 milyard dollara, 2022-ci ildə 2,16 milyard dollara, 2024-cü ildə isə 2,37 milyard dollara yüksəlmişdir ki, bu göstəricilər ərzaq məhsulları üzrə özünütəminetmə səviyyəsinin tam olmadığına, müəyyən seqmentlərdə idxaldan asılılığın davam etdiyinə dəlalət edir. İçkilər və tütün məhsulları üzrə idxal 2015-ci ildə 360,0 milyon dollardan 2016–2020-ci illərdə nisbətən aşağı hədlərdə dəyişmiş, lakin 2023–2024-cü illərdə 203,0 və 211,7 milyon dollar səviyyəsində sabitləşərək istehlak bazarının strukturunda davamlı seqment kimi formalaşmışdır.​</w:t>
      </w:r>
    </w:p>
    <w:p w14:paraId="6D430AD3"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Maşınlar və nəqliyyat avadanlıqları idxalı struktur baxımından aparıcı mövqedədir və investisiya yönümlü tələbin əsas göstəricilərindən biri kimi çıxış edir. Bu kateqoriya üzrə idxal 2015-ci ildə 3,68 milyard dollar olduğu halda 2019-cu ildə 3,88 milyard dollara, 2020-ci ildə 4,03 milyard dollara yüksəlmiş, 2022-ci ildə 4,49 milyard dollar, 2023-cü ildə 6,29 milyard dollar, 2024-cü ildə yenidən 6,29 milyard dollar ətrafında formalaşmışdır ki, bu dinamika infrastruktur layihələri, sənaye müəssisələrinin texnoloji təchizatı və nəqliyyat parkının yenilənməsi istiqamətində kapital idxalının intensivliyini nümayiş etdirir. Əsasən materialın növünə görə təsnifləşdirilən sənaye malları üzrə idxal da 2015-ci ildə 2,36 milyard dollardan 2024-cü ildə 2,86 milyard dollara yüksələrək tikinti materialları, metallurgiya məhsulları və yarımfabrikatlar üzrə xarici tədarükün sabit mənbə rolunu təsdiq edir.​</w:t>
      </w:r>
    </w:p>
    <w:p w14:paraId="40032043"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Kimyəvi mallar və analoji məhsullar bölməsində idxalın 2015-ci ildə 838,3 milyon dollardan 2019-cu ildə 1,31 milyard dollara, 2022-ci ildə 1,80 milyard dollara, 2023 və 2024-cü illərdə isə təxminən 1,9 milyard dollar səviyyəsinə yaxın həddə formalaşması sənaye, kənd təsərrüfatı, səhiyyə və istehlak kimyası sahələrində xarici mənbələrdən alınan resursların əhəmiyyətli payını göstərir. Qeyri-ərzaq xammalı, heyvan və bitki mənşəli yağlar, müxtəlif hazır məmulatlar üzrə idxal dinamikası da həm istehlak tələbinin, həm də emal sənayesinin xammal bazasının müəyyən hissəsinin xarici kanallardan təmin edildiyini nümayiş etdirir.​</w:t>
      </w:r>
    </w:p>
    <w:p w14:paraId="52F97B7D"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Mineral yanacaq, sürtkü yağları və analoji materiallar üzrə idxalın 2015-ci ildə 150,1 milyon dollardan 2019-cu ildə 827,3 milyon dollara, 2022-ci ildə 1,38 milyard dollara, 2023-cü ildə isə 1,99 milyard dollara yüksəlməsi daxili istehsal strukturunda xüsusi yanacaq növləri, neft-kimya xammalı və texniki məqsədli məhsullar üzrə ixtisaslaşmanın tam inteqrasiya olunmadığını göstərir. Digər kateqoriyalara daxil edilməyən mallar bölməsində 2019-cu ildə 2,13 milyard dollar, 2024-cü ildə 3,31 milyard dollar kimi kəskin sıçrayışla xarakterik göstəricilər idxalın müəyyən hissəsinin xüsusi əməliyyatlar, təkrar ixrac, böyük həcmli yüklərin bir dəfəyə rəsmiləşdirilməsi və statistik qruplaşdırma xüsusiyyətləri ilə bağlı konsentrasiyasını ehtiva edir.​</w:t>
      </w:r>
    </w:p>
    <w:p w14:paraId="4803396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2015–2024-cü illər dövrü üzrə idxalın struktur təhlili göstərir ki, Azərbaycan iqtisadiyyatında texnoloji avadanlıq, sənaye materialları, kimyəvi məhsullar və yeyinti məhsulları üzrə formalaşmış idxal yönümlü tələbat iqtisadi artımın həm potensial imkanlarını, həm də asılılıq risklərini eyni zamanda üzə çıxarır və bu fonda istehsalın lokallaşdırılması, aqrar və sənaye sektorlarında dərin emalın genişləndirilməsi, texnoloji transfer və import əvəzləyici siyasət alətlərinin konseptual əhəmiyyətini artırır.</w:t>
      </w:r>
    </w:p>
    <w:p w14:paraId="3EBD4FAD" w14:textId="77777777" w:rsidR="001F6AF2" w:rsidRDefault="00000000">
      <w:pPr>
        <w:spacing w:after="0" w:line="360" w:lineRule="auto"/>
        <w:ind w:firstLine="709"/>
        <w:jc w:val="right"/>
        <w:rPr>
          <w:rFonts w:ascii="Times New Roman" w:hAnsi="Times New Roman" w:cs="Times New Roman"/>
          <w:b/>
          <w:bCs/>
          <w:sz w:val="28"/>
          <w:szCs w:val="28"/>
          <w:lang w:val="tr-TR"/>
        </w:rPr>
      </w:pPr>
      <w:r>
        <w:rPr>
          <w:rFonts w:ascii="Times New Roman" w:hAnsi="Times New Roman" w:cs="Times New Roman"/>
          <w:b/>
          <w:bCs/>
          <w:sz w:val="28"/>
          <w:szCs w:val="28"/>
          <w:lang w:val="tr-TR"/>
        </w:rPr>
        <w:t>Cədvəl 2.4</w:t>
      </w:r>
    </w:p>
    <w:p w14:paraId="7FA668F9" w14:textId="77777777" w:rsidR="001F6AF2" w:rsidRDefault="00000000">
      <w:pPr>
        <w:spacing w:after="0" w:line="360" w:lineRule="auto"/>
        <w:ind w:firstLine="709"/>
        <w:jc w:val="center"/>
        <w:rPr>
          <w:rFonts w:ascii="Times New Roman" w:hAnsi="Times New Roman" w:cs="Times New Roman"/>
          <w:b/>
          <w:bCs/>
          <w:sz w:val="28"/>
          <w:szCs w:val="28"/>
          <w:lang w:val="tr-TR"/>
        </w:rPr>
      </w:pPr>
      <w:r>
        <w:rPr>
          <w:rFonts w:ascii="Times New Roman" w:hAnsi="Times New Roman" w:cs="Times New Roman"/>
          <w:b/>
          <w:bCs/>
          <w:sz w:val="28"/>
          <w:szCs w:val="28"/>
          <w:lang w:val="tr-TR"/>
        </w:rPr>
        <w:t>Beynəlxalq Standart Ticarət Təsnifatı üzrə idxalın quruluşu (min ABŞ dolları)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12"/>
        <w:gridCol w:w="705"/>
        <w:gridCol w:w="568"/>
        <w:gridCol w:w="637"/>
        <w:gridCol w:w="860"/>
        <w:gridCol w:w="860"/>
        <w:gridCol w:w="860"/>
        <w:gridCol w:w="860"/>
        <w:gridCol w:w="860"/>
        <w:gridCol w:w="860"/>
        <w:gridCol w:w="862"/>
      </w:tblGrid>
      <w:tr w:rsidR="001F6AF2" w14:paraId="4A4D7578" w14:textId="77777777">
        <w:trPr>
          <w:trHeight w:val="600"/>
        </w:trPr>
        <w:tc>
          <w:tcPr>
            <w:tcW w:w="756" w:type="pct"/>
            <w:vAlign w:val="center"/>
          </w:tcPr>
          <w:p w14:paraId="2E162373"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Məhsul bölmələri</w:t>
            </w:r>
          </w:p>
        </w:tc>
        <w:tc>
          <w:tcPr>
            <w:tcW w:w="378" w:type="pct"/>
            <w:noWrap/>
            <w:vAlign w:val="center"/>
          </w:tcPr>
          <w:p w14:paraId="225ACA85"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2015</w:t>
            </w:r>
          </w:p>
        </w:tc>
        <w:tc>
          <w:tcPr>
            <w:tcW w:w="304" w:type="pct"/>
            <w:noWrap/>
            <w:vAlign w:val="center"/>
          </w:tcPr>
          <w:p w14:paraId="10181EB2"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2016</w:t>
            </w:r>
          </w:p>
        </w:tc>
        <w:tc>
          <w:tcPr>
            <w:tcW w:w="341" w:type="pct"/>
            <w:noWrap/>
            <w:vAlign w:val="center"/>
          </w:tcPr>
          <w:p w14:paraId="085E45FE"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2017</w:t>
            </w:r>
          </w:p>
        </w:tc>
        <w:tc>
          <w:tcPr>
            <w:tcW w:w="460" w:type="pct"/>
            <w:noWrap/>
            <w:vAlign w:val="center"/>
          </w:tcPr>
          <w:p w14:paraId="23AFE503"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2018</w:t>
            </w:r>
          </w:p>
        </w:tc>
        <w:tc>
          <w:tcPr>
            <w:tcW w:w="460" w:type="pct"/>
            <w:noWrap/>
            <w:vAlign w:val="center"/>
          </w:tcPr>
          <w:p w14:paraId="2DF15F5C"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2019</w:t>
            </w:r>
          </w:p>
        </w:tc>
        <w:tc>
          <w:tcPr>
            <w:tcW w:w="460" w:type="pct"/>
            <w:noWrap/>
            <w:vAlign w:val="center"/>
          </w:tcPr>
          <w:p w14:paraId="1FE419E6"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2020</w:t>
            </w:r>
          </w:p>
        </w:tc>
        <w:tc>
          <w:tcPr>
            <w:tcW w:w="460" w:type="pct"/>
            <w:noWrap/>
            <w:vAlign w:val="center"/>
          </w:tcPr>
          <w:p w14:paraId="0CC25F5B"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2021</w:t>
            </w:r>
          </w:p>
        </w:tc>
        <w:tc>
          <w:tcPr>
            <w:tcW w:w="460" w:type="pct"/>
            <w:noWrap/>
            <w:vAlign w:val="center"/>
          </w:tcPr>
          <w:p w14:paraId="17D0CE86"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2022</w:t>
            </w:r>
          </w:p>
        </w:tc>
        <w:tc>
          <w:tcPr>
            <w:tcW w:w="460" w:type="pct"/>
            <w:noWrap/>
            <w:vAlign w:val="center"/>
          </w:tcPr>
          <w:p w14:paraId="408FA174"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2023</w:t>
            </w:r>
          </w:p>
        </w:tc>
        <w:tc>
          <w:tcPr>
            <w:tcW w:w="460" w:type="pct"/>
            <w:noWrap/>
            <w:vAlign w:val="center"/>
          </w:tcPr>
          <w:p w14:paraId="6131B083" w14:textId="77777777" w:rsidR="001F6AF2" w:rsidRDefault="00000000">
            <w:pPr>
              <w:spacing w:after="0" w:line="240" w:lineRule="auto"/>
              <w:jc w:val="center"/>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2024</w:t>
            </w:r>
          </w:p>
        </w:tc>
      </w:tr>
      <w:tr w:rsidR="001F6AF2" w14:paraId="5A66D438" w14:textId="77777777">
        <w:trPr>
          <w:trHeight w:val="300"/>
        </w:trPr>
        <w:tc>
          <w:tcPr>
            <w:tcW w:w="756" w:type="pct"/>
            <w:vAlign w:val="bottom"/>
          </w:tcPr>
          <w:p w14:paraId="18A05B4E"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Cəmi</w:t>
            </w:r>
          </w:p>
        </w:tc>
        <w:tc>
          <w:tcPr>
            <w:tcW w:w="378" w:type="pct"/>
            <w:noWrap/>
            <w:vAlign w:val="bottom"/>
          </w:tcPr>
          <w:p w14:paraId="5ADB8997"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9.216.677,1</w:t>
            </w:r>
          </w:p>
        </w:tc>
        <w:tc>
          <w:tcPr>
            <w:tcW w:w="304" w:type="pct"/>
            <w:noWrap/>
            <w:vAlign w:val="bottom"/>
          </w:tcPr>
          <w:p w14:paraId="333A3FEC"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8.489.140,4</w:t>
            </w:r>
          </w:p>
        </w:tc>
        <w:tc>
          <w:tcPr>
            <w:tcW w:w="341" w:type="pct"/>
            <w:noWrap/>
            <w:vAlign w:val="bottom"/>
          </w:tcPr>
          <w:p w14:paraId="5CB300F2"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8.783.301,4</w:t>
            </w:r>
          </w:p>
        </w:tc>
        <w:tc>
          <w:tcPr>
            <w:tcW w:w="460" w:type="pct"/>
            <w:noWrap/>
            <w:vAlign w:val="bottom"/>
          </w:tcPr>
          <w:p w14:paraId="5A38374D"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11.465.914,7</w:t>
            </w:r>
          </w:p>
        </w:tc>
        <w:tc>
          <w:tcPr>
            <w:tcW w:w="460" w:type="pct"/>
            <w:noWrap/>
            <w:vAlign w:val="bottom"/>
          </w:tcPr>
          <w:p w14:paraId="39AE7AB0"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13.667.475,7</w:t>
            </w:r>
          </w:p>
        </w:tc>
        <w:tc>
          <w:tcPr>
            <w:tcW w:w="460" w:type="pct"/>
            <w:noWrap/>
            <w:vAlign w:val="bottom"/>
          </w:tcPr>
          <w:p w14:paraId="75A5731F"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10.732.038,8</w:t>
            </w:r>
          </w:p>
        </w:tc>
        <w:tc>
          <w:tcPr>
            <w:tcW w:w="460" w:type="pct"/>
            <w:noWrap/>
            <w:vAlign w:val="bottom"/>
          </w:tcPr>
          <w:p w14:paraId="673E6D83" w14:textId="77777777" w:rsidR="001F6AF2" w:rsidRDefault="00000000">
            <w:pPr>
              <w:spacing w:after="0" w:line="240" w:lineRule="auto"/>
              <w:jc w:val="right"/>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11.703.222,6</w:t>
            </w:r>
          </w:p>
        </w:tc>
        <w:tc>
          <w:tcPr>
            <w:tcW w:w="460" w:type="pct"/>
            <w:noWrap/>
            <w:vAlign w:val="bottom"/>
          </w:tcPr>
          <w:p w14:paraId="60FC212A" w14:textId="77777777" w:rsidR="001F6AF2" w:rsidRDefault="00000000">
            <w:pPr>
              <w:spacing w:after="0" w:line="240" w:lineRule="auto"/>
              <w:jc w:val="right"/>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14.539.789,1</w:t>
            </w:r>
          </w:p>
        </w:tc>
        <w:tc>
          <w:tcPr>
            <w:tcW w:w="460" w:type="pct"/>
            <w:noWrap/>
            <w:vAlign w:val="bottom"/>
          </w:tcPr>
          <w:p w14:paraId="43913BA6" w14:textId="77777777" w:rsidR="001F6AF2" w:rsidRDefault="00000000">
            <w:pPr>
              <w:spacing w:after="0" w:line="240" w:lineRule="auto"/>
              <w:jc w:val="right"/>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17.285.344,7</w:t>
            </w:r>
          </w:p>
        </w:tc>
        <w:tc>
          <w:tcPr>
            <w:tcW w:w="460" w:type="pct"/>
            <w:noWrap/>
            <w:vAlign w:val="bottom"/>
          </w:tcPr>
          <w:p w14:paraId="35AA1EA8" w14:textId="77777777" w:rsidR="001F6AF2" w:rsidRDefault="00000000">
            <w:pPr>
              <w:spacing w:after="0" w:line="240" w:lineRule="auto"/>
              <w:jc w:val="right"/>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21.058.044,1</w:t>
            </w:r>
          </w:p>
        </w:tc>
      </w:tr>
      <w:tr w:rsidR="001F6AF2" w14:paraId="2A6814F0" w14:textId="77777777">
        <w:trPr>
          <w:gridAfter w:val="10"/>
          <w:wAfter w:w="4244" w:type="pct"/>
          <w:trHeight w:val="300"/>
        </w:trPr>
        <w:tc>
          <w:tcPr>
            <w:tcW w:w="756" w:type="pct"/>
            <w:vAlign w:val="bottom"/>
          </w:tcPr>
          <w:p w14:paraId="35E8433C" w14:textId="77777777" w:rsidR="001F6AF2" w:rsidRDefault="00000000">
            <w:pPr>
              <w:spacing w:after="0" w:line="240" w:lineRule="auto"/>
              <w:rPr>
                <w:rFonts w:ascii="Times New Roman" w:eastAsia="Times New Roman" w:hAnsi="Times New Roman" w:cs="Times New Roman"/>
                <w:b/>
                <w:bCs/>
                <w:sz w:val="20"/>
                <w:szCs w:val="20"/>
                <w:lang w:val="tr-TR" w:eastAsia="tr-TR"/>
              </w:rPr>
            </w:pPr>
            <w:r>
              <w:rPr>
                <w:rFonts w:ascii="Times New Roman" w:eastAsia="Times New Roman" w:hAnsi="Times New Roman" w:cs="Times New Roman"/>
                <w:b/>
                <w:bCs/>
                <w:sz w:val="20"/>
                <w:szCs w:val="20"/>
                <w:lang w:val="tr-TR" w:eastAsia="tr-TR"/>
              </w:rPr>
              <w:t>o cümlədən:</w:t>
            </w:r>
          </w:p>
        </w:tc>
      </w:tr>
      <w:tr w:rsidR="001F6AF2" w14:paraId="60ACAFA1" w14:textId="77777777">
        <w:trPr>
          <w:trHeight w:val="300"/>
        </w:trPr>
        <w:tc>
          <w:tcPr>
            <w:tcW w:w="756" w:type="pct"/>
            <w:vAlign w:val="bottom"/>
          </w:tcPr>
          <w:p w14:paraId="75F8013E"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Yeyinti məhsulları və diri heyvanlar</w:t>
            </w:r>
          </w:p>
        </w:tc>
        <w:tc>
          <w:tcPr>
            <w:tcW w:w="378" w:type="pct"/>
            <w:noWrap/>
            <w:vAlign w:val="bottom"/>
          </w:tcPr>
          <w:p w14:paraId="4654A15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910.489,8</w:t>
            </w:r>
          </w:p>
        </w:tc>
        <w:tc>
          <w:tcPr>
            <w:tcW w:w="304" w:type="pct"/>
            <w:noWrap/>
            <w:vAlign w:val="bottom"/>
          </w:tcPr>
          <w:p w14:paraId="37BF076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1.189.753,7</w:t>
            </w:r>
          </w:p>
        </w:tc>
        <w:tc>
          <w:tcPr>
            <w:tcW w:w="341" w:type="pct"/>
            <w:noWrap/>
            <w:vAlign w:val="bottom"/>
          </w:tcPr>
          <w:p w14:paraId="368B26F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1.282.743,4</w:t>
            </w:r>
          </w:p>
        </w:tc>
        <w:tc>
          <w:tcPr>
            <w:tcW w:w="460" w:type="pct"/>
            <w:noWrap/>
            <w:vAlign w:val="bottom"/>
          </w:tcPr>
          <w:p w14:paraId="136204C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1.270.899,0</w:t>
            </w:r>
          </w:p>
        </w:tc>
        <w:tc>
          <w:tcPr>
            <w:tcW w:w="460" w:type="pct"/>
            <w:noWrap/>
            <w:vAlign w:val="bottom"/>
          </w:tcPr>
          <w:p w14:paraId="325E3197"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1.558.029,4</w:t>
            </w:r>
          </w:p>
        </w:tc>
        <w:tc>
          <w:tcPr>
            <w:tcW w:w="460" w:type="pct"/>
            <w:noWrap/>
            <w:vAlign w:val="bottom"/>
          </w:tcPr>
          <w:p w14:paraId="62A14BE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1.553.766,4</w:t>
            </w:r>
          </w:p>
        </w:tc>
        <w:tc>
          <w:tcPr>
            <w:tcW w:w="460" w:type="pct"/>
            <w:noWrap/>
            <w:vAlign w:val="bottom"/>
          </w:tcPr>
          <w:p w14:paraId="60E9421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1.767.555,5</w:t>
            </w:r>
          </w:p>
        </w:tc>
        <w:tc>
          <w:tcPr>
            <w:tcW w:w="460" w:type="pct"/>
            <w:noWrap/>
            <w:vAlign w:val="bottom"/>
          </w:tcPr>
          <w:p w14:paraId="6F996B8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2.160.996,6</w:t>
            </w:r>
          </w:p>
        </w:tc>
        <w:tc>
          <w:tcPr>
            <w:tcW w:w="460" w:type="pct"/>
            <w:noWrap/>
            <w:vAlign w:val="bottom"/>
          </w:tcPr>
          <w:p w14:paraId="6BBE3D6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2.120.401,4</w:t>
            </w:r>
          </w:p>
        </w:tc>
        <w:tc>
          <w:tcPr>
            <w:tcW w:w="460" w:type="pct"/>
            <w:noWrap/>
            <w:vAlign w:val="bottom"/>
          </w:tcPr>
          <w:p w14:paraId="7C4791A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2.369.314,3</w:t>
            </w:r>
          </w:p>
        </w:tc>
      </w:tr>
      <w:tr w:rsidR="001F6AF2" w14:paraId="14C15587" w14:textId="77777777">
        <w:trPr>
          <w:trHeight w:val="300"/>
        </w:trPr>
        <w:tc>
          <w:tcPr>
            <w:tcW w:w="756" w:type="pct"/>
            <w:vAlign w:val="bottom"/>
          </w:tcPr>
          <w:p w14:paraId="5BDA9139"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İçkilər və tütün</w:t>
            </w:r>
          </w:p>
        </w:tc>
        <w:tc>
          <w:tcPr>
            <w:tcW w:w="378" w:type="pct"/>
            <w:noWrap/>
            <w:vAlign w:val="bottom"/>
          </w:tcPr>
          <w:p w14:paraId="6B021A7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359.992,6</w:t>
            </w:r>
          </w:p>
        </w:tc>
        <w:tc>
          <w:tcPr>
            <w:tcW w:w="304" w:type="pct"/>
            <w:noWrap/>
            <w:vAlign w:val="bottom"/>
          </w:tcPr>
          <w:p w14:paraId="4ABE0A2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210.005,1</w:t>
            </w:r>
          </w:p>
        </w:tc>
        <w:tc>
          <w:tcPr>
            <w:tcW w:w="341" w:type="pct"/>
            <w:noWrap/>
            <w:vAlign w:val="bottom"/>
          </w:tcPr>
          <w:p w14:paraId="7797E8D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231.803,7</w:t>
            </w:r>
          </w:p>
        </w:tc>
        <w:tc>
          <w:tcPr>
            <w:tcW w:w="460" w:type="pct"/>
            <w:noWrap/>
            <w:vAlign w:val="bottom"/>
          </w:tcPr>
          <w:p w14:paraId="19CD1B5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250.314,4</w:t>
            </w:r>
          </w:p>
        </w:tc>
        <w:tc>
          <w:tcPr>
            <w:tcW w:w="460" w:type="pct"/>
            <w:noWrap/>
            <w:vAlign w:val="bottom"/>
          </w:tcPr>
          <w:p w14:paraId="6C9E7CC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182.630,0</w:t>
            </w:r>
          </w:p>
        </w:tc>
        <w:tc>
          <w:tcPr>
            <w:tcW w:w="460" w:type="pct"/>
            <w:noWrap/>
            <w:vAlign w:val="bottom"/>
          </w:tcPr>
          <w:p w14:paraId="17266DB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143.657,3</w:t>
            </w:r>
          </w:p>
        </w:tc>
        <w:tc>
          <w:tcPr>
            <w:tcW w:w="460" w:type="pct"/>
            <w:noWrap/>
            <w:vAlign w:val="bottom"/>
          </w:tcPr>
          <w:p w14:paraId="384AA8D1"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170.433,2</w:t>
            </w:r>
          </w:p>
        </w:tc>
        <w:tc>
          <w:tcPr>
            <w:tcW w:w="460" w:type="pct"/>
            <w:noWrap/>
            <w:vAlign w:val="bottom"/>
          </w:tcPr>
          <w:p w14:paraId="233B366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174.179,6</w:t>
            </w:r>
          </w:p>
        </w:tc>
        <w:tc>
          <w:tcPr>
            <w:tcW w:w="460" w:type="pct"/>
            <w:noWrap/>
            <w:vAlign w:val="bottom"/>
          </w:tcPr>
          <w:p w14:paraId="31A2535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202.985,6</w:t>
            </w:r>
          </w:p>
        </w:tc>
        <w:tc>
          <w:tcPr>
            <w:tcW w:w="460" w:type="pct"/>
            <w:noWrap/>
            <w:vAlign w:val="bottom"/>
          </w:tcPr>
          <w:p w14:paraId="3B645FF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211.697,6</w:t>
            </w:r>
          </w:p>
        </w:tc>
      </w:tr>
      <w:tr w:rsidR="001F6AF2" w14:paraId="6DB86BC9" w14:textId="77777777">
        <w:trPr>
          <w:trHeight w:val="300"/>
        </w:trPr>
        <w:tc>
          <w:tcPr>
            <w:tcW w:w="756" w:type="pct"/>
            <w:vAlign w:val="bottom"/>
          </w:tcPr>
          <w:p w14:paraId="57FADFA1"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Qeyri-ərzaq xammalı (yanacaqdan başqa)</w:t>
            </w:r>
          </w:p>
        </w:tc>
        <w:tc>
          <w:tcPr>
            <w:tcW w:w="378" w:type="pct"/>
            <w:noWrap/>
            <w:vAlign w:val="bottom"/>
          </w:tcPr>
          <w:p w14:paraId="4E61F72F"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211.924,8</w:t>
            </w:r>
          </w:p>
        </w:tc>
        <w:tc>
          <w:tcPr>
            <w:tcW w:w="304" w:type="pct"/>
            <w:noWrap/>
            <w:vAlign w:val="bottom"/>
          </w:tcPr>
          <w:p w14:paraId="1F549BC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187.364,3</w:t>
            </w:r>
          </w:p>
        </w:tc>
        <w:tc>
          <w:tcPr>
            <w:tcW w:w="341" w:type="pct"/>
            <w:noWrap/>
            <w:vAlign w:val="bottom"/>
          </w:tcPr>
          <w:p w14:paraId="0BE98CC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231.127,8</w:t>
            </w:r>
          </w:p>
        </w:tc>
        <w:tc>
          <w:tcPr>
            <w:tcW w:w="460" w:type="pct"/>
            <w:noWrap/>
            <w:vAlign w:val="bottom"/>
          </w:tcPr>
          <w:p w14:paraId="19CB1D9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313.644,6</w:t>
            </w:r>
          </w:p>
        </w:tc>
        <w:tc>
          <w:tcPr>
            <w:tcW w:w="460" w:type="pct"/>
            <w:noWrap/>
            <w:vAlign w:val="bottom"/>
          </w:tcPr>
          <w:p w14:paraId="203BF00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362.082,8</w:t>
            </w:r>
          </w:p>
        </w:tc>
        <w:tc>
          <w:tcPr>
            <w:tcW w:w="460" w:type="pct"/>
            <w:noWrap/>
            <w:vAlign w:val="bottom"/>
          </w:tcPr>
          <w:p w14:paraId="3673BD71"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271.888,3</w:t>
            </w:r>
          </w:p>
        </w:tc>
        <w:tc>
          <w:tcPr>
            <w:tcW w:w="460" w:type="pct"/>
            <w:noWrap/>
            <w:vAlign w:val="bottom"/>
          </w:tcPr>
          <w:p w14:paraId="113778C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324.931,3</w:t>
            </w:r>
          </w:p>
        </w:tc>
        <w:tc>
          <w:tcPr>
            <w:tcW w:w="460" w:type="pct"/>
            <w:noWrap/>
            <w:vAlign w:val="bottom"/>
          </w:tcPr>
          <w:p w14:paraId="18217D9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401.461,7</w:t>
            </w:r>
          </w:p>
        </w:tc>
        <w:tc>
          <w:tcPr>
            <w:tcW w:w="460" w:type="pct"/>
            <w:noWrap/>
            <w:vAlign w:val="bottom"/>
          </w:tcPr>
          <w:p w14:paraId="57DC5AD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381.537,6</w:t>
            </w:r>
          </w:p>
        </w:tc>
        <w:tc>
          <w:tcPr>
            <w:tcW w:w="460" w:type="pct"/>
            <w:noWrap/>
            <w:vAlign w:val="bottom"/>
          </w:tcPr>
          <w:p w14:paraId="3B9567B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416.265,9</w:t>
            </w:r>
          </w:p>
        </w:tc>
      </w:tr>
      <w:tr w:rsidR="001F6AF2" w14:paraId="75BFA225" w14:textId="77777777">
        <w:trPr>
          <w:trHeight w:val="300"/>
        </w:trPr>
        <w:tc>
          <w:tcPr>
            <w:tcW w:w="756" w:type="pct"/>
            <w:vAlign w:val="bottom"/>
          </w:tcPr>
          <w:p w14:paraId="570BE079"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Mineral yanacaq, sürtkü yağları, analoji materiallar</w:t>
            </w:r>
          </w:p>
        </w:tc>
        <w:tc>
          <w:tcPr>
            <w:tcW w:w="378" w:type="pct"/>
            <w:noWrap/>
            <w:vAlign w:val="bottom"/>
          </w:tcPr>
          <w:p w14:paraId="7DAF75D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150.094,9</w:t>
            </w:r>
          </w:p>
        </w:tc>
        <w:tc>
          <w:tcPr>
            <w:tcW w:w="304" w:type="pct"/>
            <w:noWrap/>
            <w:vAlign w:val="bottom"/>
          </w:tcPr>
          <w:p w14:paraId="4F49C5C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282.656,0</w:t>
            </w:r>
          </w:p>
        </w:tc>
        <w:tc>
          <w:tcPr>
            <w:tcW w:w="341" w:type="pct"/>
            <w:noWrap/>
            <w:vAlign w:val="bottom"/>
          </w:tcPr>
          <w:p w14:paraId="5C352E2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378.810,7</w:t>
            </w:r>
          </w:p>
        </w:tc>
        <w:tc>
          <w:tcPr>
            <w:tcW w:w="460" w:type="pct"/>
            <w:noWrap/>
            <w:vAlign w:val="bottom"/>
          </w:tcPr>
          <w:p w14:paraId="7F382CE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723.720,1</w:t>
            </w:r>
          </w:p>
        </w:tc>
        <w:tc>
          <w:tcPr>
            <w:tcW w:w="460" w:type="pct"/>
            <w:noWrap/>
            <w:vAlign w:val="bottom"/>
          </w:tcPr>
          <w:p w14:paraId="291EEC7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827.327,8</w:t>
            </w:r>
          </w:p>
        </w:tc>
        <w:tc>
          <w:tcPr>
            <w:tcW w:w="460" w:type="pct"/>
            <w:noWrap/>
            <w:vAlign w:val="bottom"/>
          </w:tcPr>
          <w:p w14:paraId="226154C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280.262,7</w:t>
            </w:r>
          </w:p>
        </w:tc>
        <w:tc>
          <w:tcPr>
            <w:tcW w:w="460" w:type="pct"/>
            <w:noWrap/>
            <w:vAlign w:val="bottom"/>
          </w:tcPr>
          <w:p w14:paraId="0AFE838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533.157,3</w:t>
            </w:r>
          </w:p>
        </w:tc>
        <w:tc>
          <w:tcPr>
            <w:tcW w:w="460" w:type="pct"/>
            <w:noWrap/>
            <w:vAlign w:val="bottom"/>
          </w:tcPr>
          <w:p w14:paraId="6108AA1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1.375.267,2</w:t>
            </w:r>
          </w:p>
        </w:tc>
        <w:tc>
          <w:tcPr>
            <w:tcW w:w="460" w:type="pct"/>
            <w:noWrap/>
            <w:vAlign w:val="bottom"/>
          </w:tcPr>
          <w:p w14:paraId="2471D1E1"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1.985.320,1</w:t>
            </w:r>
          </w:p>
        </w:tc>
        <w:tc>
          <w:tcPr>
            <w:tcW w:w="460" w:type="pct"/>
            <w:noWrap/>
            <w:vAlign w:val="bottom"/>
          </w:tcPr>
          <w:p w14:paraId="3D8D6DF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1.848.193,5</w:t>
            </w:r>
          </w:p>
        </w:tc>
      </w:tr>
      <w:tr w:rsidR="001F6AF2" w14:paraId="1C4C6173" w14:textId="77777777">
        <w:trPr>
          <w:trHeight w:val="300"/>
        </w:trPr>
        <w:tc>
          <w:tcPr>
            <w:tcW w:w="756" w:type="pct"/>
            <w:vAlign w:val="bottom"/>
          </w:tcPr>
          <w:p w14:paraId="53BC5F59"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Heyvan və bitki mənşəli yağlar, piylər və mumlar</w:t>
            </w:r>
          </w:p>
        </w:tc>
        <w:tc>
          <w:tcPr>
            <w:tcW w:w="378" w:type="pct"/>
            <w:noWrap/>
            <w:vAlign w:val="bottom"/>
          </w:tcPr>
          <w:p w14:paraId="7CA2C78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71.644,9</w:t>
            </w:r>
          </w:p>
        </w:tc>
        <w:tc>
          <w:tcPr>
            <w:tcW w:w="304" w:type="pct"/>
            <w:noWrap/>
            <w:vAlign w:val="bottom"/>
          </w:tcPr>
          <w:p w14:paraId="0BCE4D7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127.784,8</w:t>
            </w:r>
          </w:p>
        </w:tc>
        <w:tc>
          <w:tcPr>
            <w:tcW w:w="341" w:type="pct"/>
            <w:noWrap/>
            <w:vAlign w:val="bottom"/>
          </w:tcPr>
          <w:p w14:paraId="047F38D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125.217,2</w:t>
            </w:r>
          </w:p>
        </w:tc>
        <w:tc>
          <w:tcPr>
            <w:tcW w:w="460" w:type="pct"/>
            <w:noWrap/>
            <w:vAlign w:val="bottom"/>
          </w:tcPr>
          <w:p w14:paraId="1FB4125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114.043,1</w:t>
            </w:r>
          </w:p>
        </w:tc>
        <w:tc>
          <w:tcPr>
            <w:tcW w:w="460" w:type="pct"/>
            <w:noWrap/>
            <w:vAlign w:val="bottom"/>
          </w:tcPr>
          <w:p w14:paraId="5A30F1C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115.473,6</w:t>
            </w:r>
          </w:p>
        </w:tc>
        <w:tc>
          <w:tcPr>
            <w:tcW w:w="460" w:type="pct"/>
            <w:noWrap/>
            <w:vAlign w:val="bottom"/>
          </w:tcPr>
          <w:p w14:paraId="22B7DBB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137.929,7</w:t>
            </w:r>
          </w:p>
        </w:tc>
        <w:tc>
          <w:tcPr>
            <w:tcW w:w="460" w:type="pct"/>
            <w:noWrap/>
            <w:vAlign w:val="bottom"/>
          </w:tcPr>
          <w:p w14:paraId="0274204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203.318,3</w:t>
            </w:r>
          </w:p>
        </w:tc>
        <w:tc>
          <w:tcPr>
            <w:tcW w:w="460" w:type="pct"/>
            <w:noWrap/>
            <w:vAlign w:val="bottom"/>
          </w:tcPr>
          <w:p w14:paraId="3C07B4E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252.828,8</w:t>
            </w:r>
          </w:p>
        </w:tc>
        <w:tc>
          <w:tcPr>
            <w:tcW w:w="460" w:type="pct"/>
            <w:noWrap/>
            <w:vAlign w:val="bottom"/>
          </w:tcPr>
          <w:p w14:paraId="0EB43C6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150.802,0</w:t>
            </w:r>
          </w:p>
        </w:tc>
        <w:tc>
          <w:tcPr>
            <w:tcW w:w="460" w:type="pct"/>
            <w:noWrap/>
            <w:vAlign w:val="bottom"/>
          </w:tcPr>
          <w:p w14:paraId="337EA35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196.620,8</w:t>
            </w:r>
          </w:p>
        </w:tc>
      </w:tr>
      <w:tr w:rsidR="001F6AF2" w14:paraId="153C4AFE" w14:textId="77777777">
        <w:trPr>
          <w:trHeight w:val="300"/>
        </w:trPr>
        <w:tc>
          <w:tcPr>
            <w:tcW w:w="756" w:type="pct"/>
            <w:vAlign w:val="bottom"/>
          </w:tcPr>
          <w:p w14:paraId="39433864"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Kimyəvi mallar və digər kateqoriyalara daxil edilməyən analoji məhsullar</w:t>
            </w:r>
          </w:p>
        </w:tc>
        <w:tc>
          <w:tcPr>
            <w:tcW w:w="378" w:type="pct"/>
            <w:noWrap/>
            <w:vAlign w:val="bottom"/>
          </w:tcPr>
          <w:p w14:paraId="62D7365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838.289,4</w:t>
            </w:r>
          </w:p>
        </w:tc>
        <w:tc>
          <w:tcPr>
            <w:tcW w:w="304" w:type="pct"/>
            <w:noWrap/>
            <w:vAlign w:val="bottom"/>
          </w:tcPr>
          <w:p w14:paraId="754C4B3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895.502,4</w:t>
            </w:r>
          </w:p>
        </w:tc>
        <w:tc>
          <w:tcPr>
            <w:tcW w:w="341" w:type="pct"/>
            <w:noWrap/>
            <w:vAlign w:val="bottom"/>
          </w:tcPr>
          <w:p w14:paraId="0AEDA1B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1.040.095,1</w:t>
            </w:r>
          </w:p>
        </w:tc>
        <w:tc>
          <w:tcPr>
            <w:tcW w:w="460" w:type="pct"/>
            <w:noWrap/>
            <w:vAlign w:val="bottom"/>
          </w:tcPr>
          <w:p w14:paraId="5961E0B1"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1.192.781,6</w:t>
            </w:r>
          </w:p>
        </w:tc>
        <w:tc>
          <w:tcPr>
            <w:tcW w:w="460" w:type="pct"/>
            <w:noWrap/>
            <w:vAlign w:val="bottom"/>
          </w:tcPr>
          <w:p w14:paraId="1AF5BFC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1.313.402,6</w:t>
            </w:r>
          </w:p>
        </w:tc>
        <w:tc>
          <w:tcPr>
            <w:tcW w:w="460" w:type="pct"/>
            <w:noWrap/>
            <w:vAlign w:val="bottom"/>
          </w:tcPr>
          <w:p w14:paraId="60CA976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1.347.707,0</w:t>
            </w:r>
          </w:p>
        </w:tc>
        <w:tc>
          <w:tcPr>
            <w:tcW w:w="460" w:type="pct"/>
            <w:noWrap/>
            <w:vAlign w:val="bottom"/>
          </w:tcPr>
          <w:p w14:paraId="571EEBAF"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1.321.956,4</w:t>
            </w:r>
          </w:p>
        </w:tc>
        <w:tc>
          <w:tcPr>
            <w:tcW w:w="460" w:type="pct"/>
            <w:noWrap/>
            <w:vAlign w:val="bottom"/>
          </w:tcPr>
          <w:p w14:paraId="58448B4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1.798.019,7</w:t>
            </w:r>
          </w:p>
        </w:tc>
        <w:tc>
          <w:tcPr>
            <w:tcW w:w="460" w:type="pct"/>
            <w:noWrap/>
            <w:vAlign w:val="bottom"/>
          </w:tcPr>
          <w:p w14:paraId="58A0733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1.909.745,9</w:t>
            </w:r>
          </w:p>
        </w:tc>
        <w:tc>
          <w:tcPr>
            <w:tcW w:w="460" w:type="pct"/>
            <w:noWrap/>
            <w:vAlign w:val="bottom"/>
          </w:tcPr>
          <w:p w14:paraId="1E71F7C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1.881.278,8</w:t>
            </w:r>
          </w:p>
        </w:tc>
      </w:tr>
      <w:tr w:rsidR="001F6AF2" w14:paraId="64B70447" w14:textId="77777777">
        <w:trPr>
          <w:trHeight w:val="300"/>
        </w:trPr>
        <w:tc>
          <w:tcPr>
            <w:tcW w:w="756" w:type="pct"/>
            <w:vAlign w:val="bottom"/>
          </w:tcPr>
          <w:p w14:paraId="4515ABBE"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 xml:space="preserve">Əsasən materialın növünə görə təsnifləşdirilən sənaye malları </w:t>
            </w:r>
          </w:p>
        </w:tc>
        <w:tc>
          <w:tcPr>
            <w:tcW w:w="378" w:type="pct"/>
            <w:noWrap/>
            <w:vAlign w:val="bottom"/>
          </w:tcPr>
          <w:p w14:paraId="6B6A7E1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2.362.338,2</w:t>
            </w:r>
          </w:p>
        </w:tc>
        <w:tc>
          <w:tcPr>
            <w:tcW w:w="304" w:type="pct"/>
            <w:noWrap/>
            <w:vAlign w:val="bottom"/>
          </w:tcPr>
          <w:p w14:paraId="6F7387E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1.864.196,2</w:t>
            </w:r>
          </w:p>
        </w:tc>
        <w:tc>
          <w:tcPr>
            <w:tcW w:w="341" w:type="pct"/>
            <w:noWrap/>
            <w:vAlign w:val="bottom"/>
          </w:tcPr>
          <w:p w14:paraId="3E3088A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1.684.694,7</w:t>
            </w:r>
          </w:p>
        </w:tc>
        <w:tc>
          <w:tcPr>
            <w:tcW w:w="460" w:type="pct"/>
            <w:noWrap/>
            <w:vAlign w:val="bottom"/>
          </w:tcPr>
          <w:p w14:paraId="66F70DE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2.173.823,4</w:t>
            </w:r>
          </w:p>
        </w:tc>
        <w:tc>
          <w:tcPr>
            <w:tcW w:w="460" w:type="pct"/>
            <w:noWrap/>
            <w:vAlign w:val="bottom"/>
          </w:tcPr>
          <w:p w14:paraId="2EDD9A0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2.140.640,1</w:t>
            </w:r>
          </w:p>
        </w:tc>
        <w:tc>
          <w:tcPr>
            <w:tcW w:w="460" w:type="pct"/>
            <w:noWrap/>
            <w:vAlign w:val="bottom"/>
          </w:tcPr>
          <w:p w14:paraId="066AFE7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2.002.315,2</w:t>
            </w:r>
          </w:p>
        </w:tc>
        <w:tc>
          <w:tcPr>
            <w:tcW w:w="460" w:type="pct"/>
            <w:noWrap/>
            <w:vAlign w:val="bottom"/>
          </w:tcPr>
          <w:p w14:paraId="51B0379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2.090.623,3</w:t>
            </w:r>
          </w:p>
        </w:tc>
        <w:tc>
          <w:tcPr>
            <w:tcW w:w="460" w:type="pct"/>
            <w:noWrap/>
            <w:vAlign w:val="bottom"/>
          </w:tcPr>
          <w:p w14:paraId="7050EC4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2.458.571,5</w:t>
            </w:r>
          </w:p>
        </w:tc>
        <w:tc>
          <w:tcPr>
            <w:tcW w:w="460" w:type="pct"/>
            <w:noWrap/>
            <w:vAlign w:val="bottom"/>
          </w:tcPr>
          <w:p w14:paraId="6B852C8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2.660.654,7</w:t>
            </w:r>
          </w:p>
        </w:tc>
        <w:tc>
          <w:tcPr>
            <w:tcW w:w="460" w:type="pct"/>
            <w:noWrap/>
            <w:vAlign w:val="bottom"/>
          </w:tcPr>
          <w:p w14:paraId="6F09C427"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2.858.416,9</w:t>
            </w:r>
          </w:p>
        </w:tc>
      </w:tr>
      <w:tr w:rsidR="001F6AF2" w14:paraId="507D596D" w14:textId="77777777">
        <w:trPr>
          <w:trHeight w:val="300"/>
        </w:trPr>
        <w:tc>
          <w:tcPr>
            <w:tcW w:w="756" w:type="pct"/>
            <w:vAlign w:val="bottom"/>
          </w:tcPr>
          <w:p w14:paraId="5C2BF839"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Maşınlar və nəqliyyat avadanlıqları</w:t>
            </w:r>
          </w:p>
        </w:tc>
        <w:tc>
          <w:tcPr>
            <w:tcW w:w="378" w:type="pct"/>
            <w:noWrap/>
            <w:vAlign w:val="bottom"/>
          </w:tcPr>
          <w:p w14:paraId="1DDE9A2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3.677.559,5</w:t>
            </w:r>
          </w:p>
        </w:tc>
        <w:tc>
          <w:tcPr>
            <w:tcW w:w="304" w:type="pct"/>
            <w:noWrap/>
            <w:vAlign w:val="bottom"/>
          </w:tcPr>
          <w:p w14:paraId="7FCC457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2.805.307,6</w:t>
            </w:r>
          </w:p>
        </w:tc>
        <w:tc>
          <w:tcPr>
            <w:tcW w:w="341" w:type="pct"/>
            <w:noWrap/>
            <w:vAlign w:val="bottom"/>
          </w:tcPr>
          <w:p w14:paraId="5A91159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2.933.282,9</w:t>
            </w:r>
          </w:p>
        </w:tc>
        <w:tc>
          <w:tcPr>
            <w:tcW w:w="460" w:type="pct"/>
            <w:noWrap/>
            <w:vAlign w:val="bottom"/>
          </w:tcPr>
          <w:p w14:paraId="0AF6CA6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3.481.461,8</w:t>
            </w:r>
          </w:p>
        </w:tc>
        <w:tc>
          <w:tcPr>
            <w:tcW w:w="460" w:type="pct"/>
            <w:noWrap/>
            <w:vAlign w:val="bottom"/>
          </w:tcPr>
          <w:p w14:paraId="38C09FC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3.876.176,5</w:t>
            </w:r>
          </w:p>
        </w:tc>
        <w:tc>
          <w:tcPr>
            <w:tcW w:w="460" w:type="pct"/>
            <w:noWrap/>
            <w:vAlign w:val="bottom"/>
          </w:tcPr>
          <w:p w14:paraId="50BD4EA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4.033.988,0</w:t>
            </w:r>
          </w:p>
        </w:tc>
        <w:tc>
          <w:tcPr>
            <w:tcW w:w="460" w:type="pct"/>
            <w:noWrap/>
            <w:vAlign w:val="bottom"/>
          </w:tcPr>
          <w:p w14:paraId="097F6EEF"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3.738.782,5</w:t>
            </w:r>
          </w:p>
        </w:tc>
        <w:tc>
          <w:tcPr>
            <w:tcW w:w="460" w:type="pct"/>
            <w:noWrap/>
            <w:vAlign w:val="bottom"/>
          </w:tcPr>
          <w:p w14:paraId="78CF698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4.490.253,9</w:t>
            </w:r>
          </w:p>
        </w:tc>
        <w:tc>
          <w:tcPr>
            <w:tcW w:w="460" w:type="pct"/>
            <w:noWrap/>
            <w:vAlign w:val="bottom"/>
          </w:tcPr>
          <w:p w14:paraId="480FCA9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6.293.591,6</w:t>
            </w:r>
          </w:p>
        </w:tc>
        <w:tc>
          <w:tcPr>
            <w:tcW w:w="460" w:type="pct"/>
            <w:noWrap/>
            <w:vAlign w:val="bottom"/>
          </w:tcPr>
          <w:p w14:paraId="20DCC4F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6.288.932,1</w:t>
            </w:r>
          </w:p>
        </w:tc>
      </w:tr>
      <w:tr w:rsidR="001F6AF2" w14:paraId="49E2C312" w14:textId="77777777">
        <w:trPr>
          <w:trHeight w:val="300"/>
        </w:trPr>
        <w:tc>
          <w:tcPr>
            <w:tcW w:w="756" w:type="pct"/>
            <w:vAlign w:val="bottom"/>
          </w:tcPr>
          <w:p w14:paraId="73DC83AF"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Müxtəlif hazır məmulatlar</w:t>
            </w:r>
          </w:p>
        </w:tc>
        <w:tc>
          <w:tcPr>
            <w:tcW w:w="378" w:type="pct"/>
            <w:noWrap/>
            <w:vAlign w:val="bottom"/>
          </w:tcPr>
          <w:p w14:paraId="6DB4CFA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631.320,6</w:t>
            </w:r>
          </w:p>
        </w:tc>
        <w:tc>
          <w:tcPr>
            <w:tcW w:w="304" w:type="pct"/>
            <w:noWrap/>
            <w:vAlign w:val="bottom"/>
          </w:tcPr>
          <w:p w14:paraId="4C8F15E7"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909.788,7</w:t>
            </w:r>
          </w:p>
        </w:tc>
        <w:tc>
          <w:tcPr>
            <w:tcW w:w="341" w:type="pct"/>
            <w:noWrap/>
            <w:vAlign w:val="bottom"/>
          </w:tcPr>
          <w:p w14:paraId="28482FD6"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860.018,5</w:t>
            </w:r>
          </w:p>
        </w:tc>
        <w:tc>
          <w:tcPr>
            <w:tcW w:w="460" w:type="pct"/>
            <w:noWrap/>
            <w:vAlign w:val="bottom"/>
          </w:tcPr>
          <w:p w14:paraId="745FF450"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1.124.656,5</w:t>
            </w:r>
          </w:p>
        </w:tc>
        <w:tc>
          <w:tcPr>
            <w:tcW w:w="460" w:type="pct"/>
            <w:noWrap/>
            <w:vAlign w:val="bottom"/>
          </w:tcPr>
          <w:p w14:paraId="202C9D8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1.161.676,3</w:t>
            </w:r>
          </w:p>
        </w:tc>
        <w:tc>
          <w:tcPr>
            <w:tcW w:w="460" w:type="pct"/>
            <w:noWrap/>
            <w:vAlign w:val="bottom"/>
          </w:tcPr>
          <w:p w14:paraId="6AA3C5EA"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959.590,6</w:t>
            </w:r>
          </w:p>
        </w:tc>
        <w:tc>
          <w:tcPr>
            <w:tcW w:w="460" w:type="pct"/>
            <w:noWrap/>
            <w:vAlign w:val="bottom"/>
          </w:tcPr>
          <w:p w14:paraId="27EC909B"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1.391.699,3</w:t>
            </w:r>
          </w:p>
        </w:tc>
        <w:tc>
          <w:tcPr>
            <w:tcW w:w="460" w:type="pct"/>
            <w:noWrap/>
            <w:vAlign w:val="bottom"/>
          </w:tcPr>
          <w:p w14:paraId="397441A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1.391.577,8</w:t>
            </w:r>
          </w:p>
        </w:tc>
        <w:tc>
          <w:tcPr>
            <w:tcW w:w="460" w:type="pct"/>
            <w:noWrap/>
            <w:vAlign w:val="bottom"/>
          </w:tcPr>
          <w:p w14:paraId="3C0892F8"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1.576.866,3</w:t>
            </w:r>
          </w:p>
        </w:tc>
        <w:tc>
          <w:tcPr>
            <w:tcW w:w="460" w:type="pct"/>
            <w:noWrap/>
            <w:vAlign w:val="bottom"/>
          </w:tcPr>
          <w:p w14:paraId="2FFAF70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1.674.384,1</w:t>
            </w:r>
          </w:p>
        </w:tc>
      </w:tr>
      <w:tr w:rsidR="001F6AF2" w14:paraId="2F0030F9" w14:textId="77777777">
        <w:trPr>
          <w:trHeight w:val="300"/>
        </w:trPr>
        <w:tc>
          <w:tcPr>
            <w:tcW w:w="756" w:type="pct"/>
            <w:vAlign w:val="bottom"/>
          </w:tcPr>
          <w:p w14:paraId="1B625DFC" w14:textId="77777777" w:rsidR="001F6AF2" w:rsidRDefault="00000000">
            <w:pPr>
              <w:spacing w:after="0" w:line="240" w:lineRule="auto"/>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Digər kateqoriyalara daxil edilməyən mallar</w:t>
            </w:r>
          </w:p>
        </w:tc>
        <w:tc>
          <w:tcPr>
            <w:tcW w:w="378" w:type="pct"/>
            <w:noWrap/>
            <w:vAlign w:val="bottom"/>
          </w:tcPr>
          <w:p w14:paraId="27BC5B3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3.022,4</w:t>
            </w:r>
          </w:p>
        </w:tc>
        <w:tc>
          <w:tcPr>
            <w:tcW w:w="304" w:type="pct"/>
            <w:noWrap/>
            <w:vAlign w:val="bottom"/>
          </w:tcPr>
          <w:p w14:paraId="000468E9"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16.781,6</w:t>
            </w:r>
          </w:p>
        </w:tc>
        <w:tc>
          <w:tcPr>
            <w:tcW w:w="341" w:type="pct"/>
            <w:noWrap/>
            <w:vAlign w:val="bottom"/>
          </w:tcPr>
          <w:p w14:paraId="443965E5"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15.507,4</w:t>
            </w:r>
          </w:p>
        </w:tc>
        <w:tc>
          <w:tcPr>
            <w:tcW w:w="460" w:type="pct"/>
            <w:noWrap/>
            <w:vAlign w:val="bottom"/>
          </w:tcPr>
          <w:p w14:paraId="6906E552"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820.570,2</w:t>
            </w:r>
          </w:p>
        </w:tc>
        <w:tc>
          <w:tcPr>
            <w:tcW w:w="460" w:type="pct"/>
            <w:noWrap/>
            <w:vAlign w:val="bottom"/>
          </w:tcPr>
          <w:p w14:paraId="48986E67"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2.130.036,6</w:t>
            </w:r>
          </w:p>
        </w:tc>
        <w:tc>
          <w:tcPr>
            <w:tcW w:w="460" w:type="pct"/>
            <w:noWrap/>
            <w:vAlign w:val="bottom"/>
          </w:tcPr>
          <w:p w14:paraId="1AD049AD"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933,6</w:t>
            </w:r>
          </w:p>
        </w:tc>
        <w:tc>
          <w:tcPr>
            <w:tcW w:w="460" w:type="pct"/>
            <w:noWrap/>
            <w:vAlign w:val="bottom"/>
          </w:tcPr>
          <w:p w14:paraId="43A726AC"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160.765,5</w:t>
            </w:r>
          </w:p>
        </w:tc>
        <w:tc>
          <w:tcPr>
            <w:tcW w:w="460" w:type="pct"/>
            <w:noWrap/>
            <w:vAlign w:val="bottom"/>
          </w:tcPr>
          <w:p w14:paraId="7E83707E"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36.632,3</w:t>
            </w:r>
          </w:p>
        </w:tc>
        <w:tc>
          <w:tcPr>
            <w:tcW w:w="460" w:type="pct"/>
            <w:noWrap/>
            <w:vAlign w:val="bottom"/>
          </w:tcPr>
          <w:p w14:paraId="137F9414"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3.439,5</w:t>
            </w:r>
          </w:p>
        </w:tc>
        <w:tc>
          <w:tcPr>
            <w:tcW w:w="460" w:type="pct"/>
            <w:noWrap/>
            <w:vAlign w:val="bottom"/>
          </w:tcPr>
          <w:p w14:paraId="206071F3" w14:textId="77777777" w:rsidR="001F6AF2" w:rsidRDefault="00000000">
            <w:pPr>
              <w:spacing w:after="0" w:line="240" w:lineRule="auto"/>
              <w:jc w:val="right"/>
              <w:rPr>
                <w:rFonts w:ascii="Times New Roman" w:eastAsia="Times New Roman" w:hAnsi="Times New Roman" w:cs="Times New Roman"/>
                <w:sz w:val="20"/>
                <w:szCs w:val="20"/>
                <w:lang w:val="tr-TR" w:eastAsia="tr-TR"/>
              </w:rPr>
            </w:pPr>
            <w:r>
              <w:rPr>
                <w:rFonts w:ascii="Times New Roman" w:eastAsia="Times New Roman" w:hAnsi="Times New Roman" w:cs="Times New Roman"/>
                <w:sz w:val="20"/>
                <w:szCs w:val="20"/>
                <w:lang w:val="tr-TR" w:eastAsia="tr-TR"/>
              </w:rPr>
              <w:t>3.312.940,1</w:t>
            </w:r>
          </w:p>
        </w:tc>
      </w:tr>
    </w:tbl>
    <w:p w14:paraId="3563950D"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b/>
          <w:bCs/>
          <w:sz w:val="28"/>
          <w:szCs w:val="28"/>
          <w:lang w:val="tr-TR"/>
        </w:rPr>
        <w:t>Mənbə:</w:t>
      </w:r>
      <w:r>
        <w:rPr>
          <w:rFonts w:ascii="Times New Roman" w:hAnsi="Times New Roman" w:cs="Times New Roman"/>
          <w:sz w:val="28"/>
          <w:szCs w:val="28"/>
          <w:lang w:val="tr-TR"/>
        </w:rPr>
        <w:t xml:space="preserve"> https://www.stat.gov.az/source/trade/</w:t>
      </w:r>
    </w:p>
    <w:p w14:paraId="4859F055" w14:textId="77777777" w:rsidR="001F6AF2" w:rsidRDefault="001F6AF2">
      <w:pPr>
        <w:spacing w:after="0" w:line="360" w:lineRule="auto"/>
        <w:ind w:firstLine="709"/>
        <w:jc w:val="both"/>
        <w:rPr>
          <w:rFonts w:ascii="Times New Roman" w:hAnsi="Times New Roman" w:cs="Times New Roman"/>
          <w:sz w:val="28"/>
          <w:szCs w:val="28"/>
          <w:lang w:val="tr-TR"/>
        </w:rPr>
      </w:pPr>
    </w:p>
    <w:p w14:paraId="3D65DA33"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lang w:val="az-Latn-AZ"/>
        </w:rPr>
        <w:t xml:space="preserve">2.2. Azərbaycan gömrük orqanlarında sərhəddə ticarətin idarə olunması və </w:t>
      </w:r>
      <w:proofErr w:type="spellStart"/>
      <w:r>
        <w:rPr>
          <w:rFonts w:ascii="Times New Roman" w:hAnsi="Times New Roman" w:cs="Times New Roman"/>
          <w:b/>
          <w:bCs/>
          <w:color w:val="auto"/>
          <w:sz w:val="28"/>
          <w:szCs w:val="28"/>
          <w:lang w:val="az-Latn-AZ"/>
        </w:rPr>
        <w:t>rəqəmsallaşma</w:t>
      </w:r>
      <w:proofErr w:type="spellEnd"/>
      <w:r>
        <w:rPr>
          <w:rFonts w:ascii="Times New Roman" w:hAnsi="Times New Roman" w:cs="Times New Roman"/>
          <w:b/>
          <w:bCs/>
          <w:color w:val="auto"/>
          <w:sz w:val="28"/>
          <w:szCs w:val="28"/>
          <w:lang w:val="az-Latn-AZ"/>
        </w:rPr>
        <w:t xml:space="preserve"> səviyyəsi</w:t>
      </w:r>
    </w:p>
    <w:p w14:paraId="0770B0E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gömrük sistemində ticarətin idarə olunması sahəsində “vahid pəncərə” modeli 1 yanvar 2009</w:t>
      </w:r>
      <w:r>
        <w:rPr>
          <w:rFonts w:ascii="Times New Roman" w:hAnsi="Times New Roman" w:cs="Times New Roman"/>
          <w:sz w:val="28"/>
          <w:szCs w:val="28"/>
          <w:lang w:val="tr-TR"/>
        </w:rPr>
        <w:noBreakHyphen/>
        <w:t>dan etibarən hüquqi cəhətdən rəsmiləşdirilmiş inteqrasiya olunmuş nəzarət mexanizmi kimi formalaşmış və gömrük orqanlarının rəqəmsal transformasiyasının əsas institusional dayaqlarından birinə çevrilmişdir [2].​</w:t>
      </w:r>
    </w:p>
    <w:p w14:paraId="093EF6E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Respublikasında dövlət sərhədindən keçən malların və nəqliyyat vasitələrinin yoxlanılmasında “vahid pəncərə” prinsipinin tətbiqi Prezidentin 11 noyabr 2008</w:t>
      </w:r>
      <w:r>
        <w:rPr>
          <w:rFonts w:ascii="Times New Roman" w:hAnsi="Times New Roman" w:cs="Times New Roman"/>
          <w:sz w:val="28"/>
          <w:szCs w:val="28"/>
          <w:lang w:val="tr-TR"/>
        </w:rPr>
        <w:noBreakHyphen/>
        <w:t>ci il tarixli 12 nömrəli fərmanı ilə təsbit edilərək 1 yanvar 2009</w:t>
      </w:r>
      <w:r>
        <w:rPr>
          <w:rFonts w:ascii="Times New Roman" w:hAnsi="Times New Roman" w:cs="Times New Roman"/>
          <w:sz w:val="28"/>
          <w:szCs w:val="28"/>
          <w:lang w:val="tr-TR"/>
        </w:rPr>
        <w:noBreakHyphen/>
        <w:t>dan qüvvəyə minmiş və sərhəd nəzarəti üzrə koordinasiya funksiyası rəsmi qaydada Dövlət Gömrük Komitəsinə həvalə olunmuşdur [2]. Bu normativ aktla malların və nəqliyyat vasitələrinin sərhəd buraxılış məntəqələrində yoxlanılması üzrə müxtəlif dövlət orqanlarının səlahiyyətləri vahid inzibati çərçivədə birləşdirilmiş, gömrük orqanları faktiki olaraq ticarət axınlarının idarə olunması üzrə “aparıcı operator” statusunu əldə etmişdir.​</w:t>
      </w:r>
    </w:p>
    <w:p w14:paraId="4F9351E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“Vahid pəncərə” modeli eyni zamanda Dünya Gömrük Təşkilatının ticarətin asanlaşdırılması üzrə standartları və ÜTT-nin Ticarətin Asanlaşdırılması Sazişi çərçivəsində formalaşmış normativ yanaşmalarla uzlaşdırılaraq, gömrük nəzarətinin hüquqi mexanizmləri ilə digər nəzarət qurumlarının (sərhəd-sanitariya, fitosanitar, baytarlıq, nəqliyyat təhlükəsizliyi və s.) səlahiyyətləri arasında aydın funksional bölgü yaratmışdır. Hüquqi əsaslandırma təkcə sərhəd-keçid yoxlamalarının gömrük platformasında cəmlənməsini deyil, həm də məlumat mübadiləsinin elektron infrastruktur üzərində təşkili, məlumatların təkrar təqdim edilməsinin aradan qaldırılması və qərarvermə prosesinin rəqəmsal izlenebilirliyini nəzərdə tutan normativ-texniki baza üzərində qurulmuşdur.​</w:t>
      </w:r>
    </w:p>
    <w:p w14:paraId="61BA4ED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“Vahid pəncərə” çərçivəsində idxal, ixrac və tranzit əməliyyatları zamanı gömrük rəsmiləşdirilməsi, müşayiətedici icazə və sertifikatların verilməsi, risklərin qiymətləndirilməsi və fiziki yoxlama qərarlarının qəbulu kimi prosedurlar müxtəlif nəzarət orqanlarının iştirakına baxmayaraq vahid gömrük informasiya sistemi üzərindən əlaqələndirilir və sahibkar üçün yeganə institusional müraciət nöqtəsi formalaşdırılır. Bu mexanizm ticarət iştirakçılarının eyni məlumatları bir neçə quruma ayrıca təqdim etmək zərurətini aradan qaldırır, sənəd dövriyyəsinin elektron formatda konsolidasiyasına, o cümlədən gömrük bəyannamələrinin, mənşə sertifikatlarının və digər icazə xarakterli sənədlərin vahid rəqəmsal platformada emalına imkan verir.​</w:t>
      </w:r>
    </w:p>
    <w:p w14:paraId="4370010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Beynəlxalq səviyyədə “vahid pəncərə” konsepsiyası ÜTT Ticarətin Asanlaşdırılması Sazişi və ÜDM/UNECE standartlarına uyğun olaraq idxal, ixrac və tranzitlə bağlı bütün tənzimləyici tələblərin ya bir məlumat təqdimatı, ya da qarşılıqlı inteqrasiya olunmuş elektron sistemlər vasitəsilə icrasını nəzərdə tutur və Azərbaycanın gömrük-hüquqi mühitində tətbiqi məhz bu tələblərlə uyğunlaşdırılmışdır [6]. Nəticədə gömrük orqanı həm öz normativ səlahiyyətlərini, həm də digər nəzarət qurumlarının sərhəddə faktiki icra funksiyalarını koordinasiya edən mərkəzi institusional platformaya çevrilir, ticarət axınlarının legitimliyi ilə sürət və xərclər arasında tarazlığı normativ şəkildə tənzimləyən mexanizm formalaşır.​</w:t>
      </w:r>
    </w:p>
    <w:p w14:paraId="3AE41860"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Dövlət Gömrük Komitəsi “vahid pəncərə” prinsipini tədricən elektron gömrük sistemləri ilə inteqrasiya etmiş, 2016</w:t>
      </w:r>
      <w:r>
        <w:rPr>
          <w:rFonts w:ascii="Times New Roman" w:hAnsi="Times New Roman" w:cs="Times New Roman"/>
          <w:sz w:val="28"/>
          <w:szCs w:val="28"/>
          <w:lang w:val="tr-TR"/>
        </w:rPr>
        <w:noBreakHyphen/>
        <w:t>cı ildən elektron bəyannamə, sonrakı mərhələdə “Smart Customs” təşəbbüsü və mobil platformalar vasitəsilə bütün əsas gömrük əməliyyatlarının rəqəmsal mühitdə icrasını təmin edən infrastruktur qurmuşdur. BMT və digər beynəlxalq qiymətləndirmələrdə Azərbaycanın “Elektron vahid pəncərə”, avtomatlaşdırılmış gömrük sistemi, elektron gömrük bəyannaməsi və gömrük ödənişlərinin tam rəqəmsal icrası kimi indikatorlar üzrə “tam tətbiq olunmuş” status alması sərhəddə ticarətin idarə olunmasında rəqəmsallaşma səviyyəsinin yüksək institusional yetkinliyə çatdığını göstərir.​</w:t>
      </w:r>
    </w:p>
    <w:p w14:paraId="5B87E281"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Rəqəmsal gömrük mühiti risklərin avtomatlaşdırılmış təhlili, tranzit əməliyyatlarının onlayn idarə edilməsi, eləcə də Transxəzər gömrük tranzit portalı və yeni nəsil rəqəmsal logistika platformaları vasitəsilə ticarət axınlarının real vaxt rejimində monitorinqini mümkün edir və beləliklə “vahid pəncərə” prinsipini artıq yalnız sərhəd-keçid məntəqəsində yoxlama modeli deyil, bütövlükdə xarici ticarətin rəqəmsal idarəetmə ekosistemi səviyyəsinə yüksəldir. Nəticədə hüquqi və institusional baza gömrük nəzarətinin təhlükəsizlik funksiyası ilə ticarətin asanlaşdırılması hədəflərini bir sistem daxilində birləşdirən, beynəlxalq normativ çərçivələrə inteqrasiya olunmuş, rəqəmsal innovasiyalarla dəstəklənən kompleks idarəetmə platforması kimi formalaşır.</w:t>
      </w:r>
    </w:p>
    <w:p w14:paraId="0709619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gömrük orqanlarında sərhəddə ticarətin idarə olunması alətləri mərhələli risklərin idarə olunması yanaşmasına əsaslanır və bu yanaşma xüsusilə etibarlı xarici iqtisadi fəaliyyət iştirakçıları üçün prosedur yükünün azaldılması, eyni zamanda yüksək risk daşıyan axınların daha intensiv nəzarətə cəlb edilməsi məqsədini daşıyır. Dövlət Gömrük Komitəsinin tətbiq etdiyi “yaşıl dəhliz” buraxılış sistemi aşağı risk profilli, öz gömrük öhdəliklərini müntəzəm və şəffaf şəkildə yerinə yetirən iştirakçılar üçün sənəd və fiziki yoxlamaların faizini nəzərəçarpacaq dərəcədə aşağı salır, bu yolla həm buraxılış vaxtını qısaldır, həm də resursların risk əsaslı bölgüsünü təmin edir.​</w:t>
      </w:r>
    </w:p>
    <w:p w14:paraId="0DF14821"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Risklərin idarə olunmasına əsaslanan modeldə “yaşıl dəhliz” kanalı ilə yanaşı, şərti olaraq “sarı” və “qırmızı” kanallar üzrə diferensial nəzarət dərinliyi formalaşdırılır, sistem daxilində istifadə olunan risk profilləri əvvəlki pozuntu tarixçəsi, sənədlərin düzgünlüyü, mal kateqoriyaları və logistika marşrutları kimi göstəricilərə əsaslanaraq yenilənir və beləliklə sərhəddə ticarətin idarə olunması operativ, analitik və preventiv funksiyaların birləşdiyi kompleks mexanizmə çevrilir [8]. Belə risk əsaslı təsnifat nəticəsində gömrük orqanları aşağı riskli axınlar üzrə buraxılış prosesini sürətləndirir, yüksək riskli istiqamətlərdə isə selektiv, lakin daha intensiv nəzarət tətbiq etməklə həm təhlükəsizlik hədəflərini, həm də ticarətin asanlaşdırılması öhdəliklərini vahid institusional çərçivədə uzlaşdırır.​</w:t>
      </w:r>
    </w:p>
    <w:p w14:paraId="7C68D9E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“Yaşıl dəhliz” sistemi ilə yanaşı, sərhəd-keçid məntəqələrində müxtəlif nəzarət orqanlarının funksiyaları gömrük orqanının koordinasiyaedici rolu əsasında inteqrasiya olunur, vahid texnoloji sxem çərçivəsində sərhəd-sanitariya, fitosanitar, baytarlıq, nəqliyyat və digər nəzarət formaları üzrə məlumat axınları gömrük informasiya sistemi üzərində toplanır və bu inteqrasiya nəticəsində sahibkarın müxtəlif qurumlara ayrı-ayrılıqda müraciət zərurəti aradan qaldırılır. İnformasiya mübadiləsinin elektron formatda təşkil edilməsi, əvvəlcədən bəyannamə və əvvəlcədən məlumatlandırma imkanlarının genişləndirilməsi növbələrin azaldılmasına, sərhəd-keçid məntəqələrində dayanma müddətinin optimallaşdırılmasına və nəqliyyat vasitələrinin dövriyyə sürətinin yüksəldilməsinə yönəlmiş idarəetmə yanaşmasının mərkəzi elementinə çevrilir.​</w:t>
      </w:r>
    </w:p>
    <w:p w14:paraId="5D7C4A6F"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Rəqəmsallaşmaya əsaslanan alətlər sırasında elektron bəyannamə, əvvəlcədən bəyannamə sistemləri, məlumatların əvvəlcədən təqdim edilməsi mexanizmləri və avtomatlaşdırılmış risk idarəetmə modulları xüsusi yer tutur və bu alətlər vahid platforma daxilində inteqrasiya olunduğu üçün sərhəddə qərarvermə prosesi real vaxt rejimində informasiya ilə təmin edilir. Elektron məlumat mübadiləsi infrastrukturunun inkişafı gömrük orqanına nəinki təkcə sərhəd-keçid məntəqəsində fiziki axınları nizamlamağa, həm də ticarət zənciri boyunca logistika marşrutlarını izləməyə, tranzit əməliyyatlarını onlayn monitorinq etməyə və “yaşıl dəhliz” statusunun qorunması üçün iştirakçıların davranış dinamikasını davamlı təhlil etməyə imkan verir.​</w:t>
      </w:r>
    </w:p>
    <w:p w14:paraId="0440642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ticarətin idarə olunması alətləri kimi “yaşıl dəhliz” buraxılış sistemi, risk əsaslı kanallaşdırma, inteqrasiya olunmuş nəzarət funksiyaları, elektron bəyannamə və əvvəlcədən məlumatlandırma mexanizmləri vahid institusional konstruksiyada birləşərək gömrük nəzarəti ilə ticarətin asanlaşdırılması arasında balanslaşdırılmış idarəetmə modeli formalaşdırır, rəqəmsallaşma səviyyəsi isə bu modelin operativliyini, şəffaflığını və analitik dayanıqlığını təmin edən əsas struktur komponent rolunu oynayır [8].</w:t>
      </w:r>
    </w:p>
    <w:p w14:paraId="354F389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gömrük orqanlarında rəqəmsal infrastruktur ticarət axınlarının idarə olunmasını yalnız ayrı-ayrı elektron xidmətlərin təqdimatı səviyyəsində deyil, vahid rəqəmsal ekosistem çərçivəsində təşkil edən institusional model kimi formalaşdırılıb və bu modeldə gömrük nəzarəti funksiyaları ilə biznes proseslərinin optimallaşdırılması məqsədyönlü şəkildə uzlaşdırılıb. Gömrük sisteminin rəqəmsallaşdırılması nəticəsində xarici iqtisadi fəaliyyət iştirakçısı üçün sərhədkeçmə prosesinin bütün əsas mərhələləri üzrə müraciət kanalları, məlumat axınları və qərarvermə prosedurları onlayn mühitdə ardıcıl şəkildə inteqrasiya olunub.</w:t>
      </w:r>
    </w:p>
    <w:p w14:paraId="3B3A951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Dövlət Gömrük Komitəsinin “Rəqəmsal Gömrük Biznes Platforması – e</w:t>
      </w:r>
      <w:r>
        <w:rPr>
          <w:rFonts w:ascii="Times New Roman" w:hAnsi="Times New Roman" w:cs="Times New Roman"/>
          <w:sz w:val="28"/>
          <w:szCs w:val="28"/>
          <w:lang w:val="tr-TR"/>
        </w:rPr>
        <w:noBreakHyphen/>
        <w:t>Customs” həlli rəqəmsal gömrük arxitekturasının mərkəzi komponenti kimi çıxış edir və gömrük bəyannamələrinin elektron qəbulu, rəsmiləşdirilmə mərhələlərinin onlayn monitorinqi, əlavə sənəd və məlumatların elektron ötürülməsi, eləcə də ödənişlərin rəqəmsal kanallar vasitəsilə icrası üçün kompleks infrastruktur yaradır [6]. Platforma çərçivəsində sahibkar gömrük rəsmiləşdirilməsinin statusunu real zaman kəsiyində izləyə, tələb olunan əlavə məlumat və izahatları elektron formada təqdim edə, qərarların qəbul dinamikası barədə operativ informasiya əldə edə bilir ki, bu da həm inzibati şəffaflığı, həm də prosedur öngörülə bilənliyini artırır.</w:t>
      </w:r>
    </w:p>
    <w:p w14:paraId="5176F2A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Elektron gömrük sisteminə “Asan İmza” və “SİMA” kimi rəqəmsal imza həlləri vasitəsilə daxilolma imkanı autentifikasiya və hüquqi tanınma mexanizmlərinin milli rəqəmsal identifikasiya infrastrukturuna inteqrasiyasını təmin edir və nəticədə elektron bəyannamə, elektron müraciət, onlayn şikayət və digər əməliyyatlar hüquqi cəhətdən tam qüvvəyə malik rəqəmsal əməliyyatlar qismində qəbul olunur. Rəqəmsal imza texnologiyalarının gömrük xidmətləri ilə birləşdirilməsi sahibkarın fiziki olaraq gömrük orqanına müraciət zərurətini minimuma endirir, qərarların rəqəmsal izini, məlumatların bütövlüyünü və əməliyyatların inkarolunmazlığını təmin edən normativ-texniki mühit yaradır.</w:t>
      </w:r>
    </w:p>
    <w:p w14:paraId="5B476281"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Malların və nəqliyyat vasitələrinin elektron bəyannaməsinin tərtibi və təqdim edilməsi imkanı rəsmiləşdirmə prosesini əvvəlcədən planlaşdırılan, strukturlaşdırılmış və məlumatların standart formatda toplandığı mərhələyə çevirir, bu zaman sahibkar gömrük bəyannaməsinin bütün bölmələrini məsafədən doldurur, zəruri müşayiətedici sənədləri elektron şəkildə əlavə edir və sistem vasitəsilə göndərilən məlumatlar avtomatlaşdırılmış risk idarəetmə modulları tərəfindən emal olunur. Bu yanaşma sərhəd-keçid məntəqəsində fiziki əməliyyatların yalnız nəzarət və buraxılış funksiyası ilə məhdudlaşmasına, sənəd dövriyyəsinin isə əsasən rəqəmsal kanallarda həyata keçirilməsinə gətirib çıxarır və beləliklə, ticarət axınlarının idarə edilməsində inzibati xərclər azalır, əməliyyat müddətləri optimallaşır, həmçinin gömrük orqanı üçün analitik təhlil üçün geniş məlumat bazası formalaşır.</w:t>
      </w:r>
    </w:p>
    <w:p w14:paraId="5C9AE267"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Rəqəmsal gömrük xidmətləri ekosistemi təkcə e</w:t>
      </w:r>
      <w:r>
        <w:rPr>
          <w:rFonts w:ascii="Times New Roman" w:hAnsi="Times New Roman" w:cs="Times New Roman"/>
          <w:sz w:val="28"/>
          <w:szCs w:val="28"/>
          <w:lang w:val="tr-TR"/>
        </w:rPr>
        <w:noBreakHyphen/>
        <w:t>Customs platforması və elektron bəyannamə mexanizmləri ilə məhdudlaşmır, mobil tətbiqlər, onlayn kalkulyatorlar, elektron növbə sistemi, elektron kabinet formatında şəxsi hesab paneli, eləcə də statistik hesabatların və arxiv məlumatlarının məsafədən əldə edilməsi imkanları ilə tamamlanır və nəticədə sahibkar üçün sərhəd ticarəti üzrə fəaliyyət mühiti fasiləsiz rəqəmsal əlaqə üzərində qurulan, yüksək şəffaflıq və operativliklə səciyyələnən inteqrasiya olunmuş idarəetmə mühitinə çevrilir. Azərbaycan gömrük orqanlarında rəqəmsal infrastruktur ticarətin asanlaşdırılması, nəzarət funksiyalarının effektivliyi, korrupsiya risklərinin azaldılması və beynəlxalq ticarət iştirakçıları üçün rəqabətqabiliyyətli institusional mühitin formalaşdırılması baxımından sistemli və konseptual əhəmiyyət kəsb edən alət kimi çıxış edir.</w:t>
      </w:r>
    </w:p>
    <w:p w14:paraId="3CEC66B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gömrük orqanlarında sərhəddə ticarətin idarə olunmasında “Rəqəmsal Gömrük Dəyəri Sistemi” xarici ticarət əməliyyatlarının dəyər mərhələsində şəffaflıq, proqnozlaşdırıla bilmə və institusional etibarlılıq yaradan əsas texnoloji alətlərdən biri kimi formalaşmışdır [11]. Bu yanaşma gömrük dəyərinin müəyyən edilməsini klassik, sənəd yönümlü və yüksək subyektivlik riski daşıyan prosedurdan vahid alqoritmlərlə idarə olunan rəqəmsal qərarvermə mexanizminə çevirir.​</w:t>
      </w:r>
    </w:p>
    <w:p w14:paraId="542CE6B3"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Dövlət Gömrük Komitəsi tərəfindən tətbiq olunan “Rəqəmsal Gömrük Dəyəri Sistemi” mahiyyət etibarilə gömrük dəyərinin hesablanmasını elektron məlumat bazaları, standartlaşdırılmış qiymət göstəriciləri, müqayisəli əməliyyatlar üzrə referans məlumatlar və avtomatlaşdırılmış alqoritmlər əsasında həyata keçirən kompleks platforma rolunda çıxış edir və bu platforma daxilində dəyərin formalaşmasında istifadə olunan bütün parametrlər elektron şəkildə sənədləşdirilir və izlenebilir olur. Dəyər müəyyənləşdirilməsi prosesində ayrı-ayrı əməkdaşların subyektiv qərarvermə imkanları kəskin məhdudlaşır, insan müdaxiləsi minimum texniki yoxlama funksiyası ilə məhdudlaşdırılır və nəticədə həm korrupsiya riskləri azalır, həm də qərarların normativ baza ilə uyğunluğu daha aydın şəkildə izlənilir.​</w:t>
      </w:r>
    </w:p>
    <w:p w14:paraId="599B3CA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Rəqəmsal gömrük dəyəri modelinin tətbiqi ticarət xərclərinin və əməliyyatların sayının azaldılması baxımından da fundamental təsir göstərir, çünki idxalçı və ixracatçı üçün dəyər formalaşmasının meyarları əvvəlcədən məlum olur, dəyərin hesablanması üzrə gözləntilər konkret alqoritmlərə və açıq şəkildə müəyyən edilmiş parametrlərə istinad edir, bu isə əlavə izahat məktubları, təkrar hesablamalar və şikayət prosedurlarının sayını aşağı salır. Rəqəmsal sistem biznes subyektlərinə gömrük rüsumları, vergi öhdəlikləri və digər məcburi ödənişlər üzrə proqnozları əvvəlcədən hesablamağa, müxtəlif ssenarilər üzrə idxal dəyərinin variantlarını modelləşdirməyə imkan verir və beləliklə, gəlir</w:t>
      </w:r>
      <w:r>
        <w:rPr>
          <w:rFonts w:ascii="Times New Roman" w:hAnsi="Times New Roman" w:cs="Times New Roman"/>
          <w:sz w:val="28"/>
          <w:szCs w:val="28"/>
          <w:lang w:val="tr-TR"/>
        </w:rPr>
        <w:noBreakHyphen/>
        <w:t>xərc planlaşdırması daha riyazi əsaslara söykənən, riskləri ölçülə bilən prosesə çevrilir.​</w:t>
      </w:r>
    </w:p>
    <w:p w14:paraId="3373253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“Rəqəmsal Gömrük Dəyəri Sistemi” gömrük orqanının analitik potensialını da genişləndirir, çünki elektron mühitdə toplanan dəyər məlumatları mal kateqoriyaları, ölkələr, daşıma marşrutları və kontragent profilləri üzrə sistemləşdirilərək statistik modellərdə istifadə olunur, bu modellər vasitəsilə qiymət anomaliyaları, transfer qiymətqoyma riskləri və süni şəkildə şişirdilmiş və ya azaldılmış dəyər halları avtomatik şəkildə identifikasiya edilir. Belə analitik infrastruktur gömrük nəzarətinin risk yönümlü xarakterini dərinləşdirir, audit və sonrakı nəzarət mexanizmlərinin hədəflənməsini yaxşılaşdırır və institusional qərarların informasiya bazasını gücləndirir.​</w:t>
      </w:r>
    </w:p>
    <w:p w14:paraId="6367988D"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Yeni rəqəmsal layihələr çərçivəsində gömrük dəyəri üzrə sistemlərin “Rəqəmsal Gömrük Biznes Platforması – e</w:t>
      </w:r>
      <w:r>
        <w:rPr>
          <w:rFonts w:ascii="Times New Roman" w:hAnsi="Times New Roman" w:cs="Times New Roman"/>
          <w:sz w:val="28"/>
          <w:szCs w:val="28"/>
          <w:lang w:val="tr-TR"/>
        </w:rPr>
        <w:noBreakHyphen/>
        <w:t>Customs”, “vahid pəncərə” və elektron bəyannamə həlləri ilə inteqrasiyası dəyər blokunu sərhəddə ticarətin idarə olunmasının vahid ekosisteminə daxil edir, beləliklə, dəyər, mənşə, tarif tətbiqi və risklərin idarə olunması arasında məlumat axınları sinxronlaşdırılır və qərarvermə prosesində bütün parametrlər bir-birini tamamlayan struktur elementlərə çevrilir [19]. Bu inteqrasiya biznes üçün həm prosedur baxımından daha sadələşmiş, həm də hüquqi cəhətdən daha öngörülə bilən mühit yaradır, gömrük orqanına isə rəqəmsal izlenebilirlik, məlumatların bütövlüyü və qərarların obyektivliyi baxımından daha yüksək institusional dayanıqlıq təmin edir.</w:t>
      </w:r>
    </w:p>
    <w:p w14:paraId="185456CE"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lang w:val="az-Latn-AZ"/>
        </w:rPr>
        <w:t xml:space="preserve">2.3. Sərhəd-keçid məntəqələrində </w:t>
      </w:r>
      <w:proofErr w:type="spellStart"/>
      <w:r>
        <w:rPr>
          <w:rFonts w:ascii="Times New Roman" w:hAnsi="Times New Roman" w:cs="Times New Roman"/>
          <w:b/>
          <w:bCs/>
          <w:color w:val="auto"/>
          <w:sz w:val="28"/>
          <w:szCs w:val="28"/>
          <w:lang w:val="az-Latn-AZ"/>
        </w:rPr>
        <w:t>logistika</w:t>
      </w:r>
      <w:proofErr w:type="spellEnd"/>
      <w:r>
        <w:rPr>
          <w:rFonts w:ascii="Times New Roman" w:hAnsi="Times New Roman" w:cs="Times New Roman"/>
          <w:b/>
          <w:bCs/>
          <w:color w:val="auto"/>
          <w:sz w:val="28"/>
          <w:szCs w:val="28"/>
          <w:lang w:val="az-Latn-AZ"/>
        </w:rPr>
        <w:t>, vaxt və xərclər baxımından səmərəlilik problemləri</w:t>
      </w:r>
    </w:p>
    <w:p w14:paraId="7692E0C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sərhəd</w:t>
      </w:r>
      <w:r>
        <w:rPr>
          <w:rFonts w:ascii="Times New Roman" w:hAnsi="Times New Roman" w:cs="Times New Roman"/>
          <w:sz w:val="28"/>
          <w:szCs w:val="28"/>
          <w:lang w:val="tr-TR"/>
        </w:rPr>
        <w:noBreakHyphen/>
        <w:t>keçid məntəqələrində logistika, vaxt və xərclər baxımından səmərəlilik problemləri tranzit zəncirinin ayrı-ayrı texnoloji elementlərində yığılan gecikmələrin kumulyativ təsiri nəticəsində formalaşır və bu vəziyyət xüsusilə idxal istiqamətində ticarət axınlarının etibarlılığını zəiflədir. CAREC proqramı çərçivəsində aparılan monitorinqlərdən görünür ki, son illərdə orta sərhəd</w:t>
      </w:r>
      <w:r>
        <w:rPr>
          <w:rFonts w:ascii="Times New Roman" w:hAnsi="Times New Roman" w:cs="Times New Roman"/>
          <w:sz w:val="28"/>
          <w:szCs w:val="28"/>
          <w:lang w:val="tr-TR"/>
        </w:rPr>
        <w:noBreakHyphen/>
        <w:t>keçid vaxtı ümumi tendensiyada azalsa da, “inbound” əməliyyatlarda gözləmə müddətləri yenidən artım meyli göstərir və bu artım logistika operatorları üçün tranzit marşrutları üzrə vaxt təqviminin planlaşdırılmasını çətinləşdirir.​</w:t>
      </w:r>
    </w:p>
    <w:p w14:paraId="7BC6C24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 xml:space="preserve">Vaxt göstəricilərində müşahidə olunan dalğalanma bir tərəfdən nəqliyyat axınlarının mövsümi sıxlığı, digər tərəfdən isə nəzarət prosedurlarının standartlaşdırılma dərəcəsi, əvvəlcədən məlumatlandırma mexanizmlərinin faktiki istifadə səviyyəsi və </w:t>
      </w:r>
      <w:proofErr w:type="spellStart"/>
      <w:r>
        <w:rPr>
          <w:rFonts w:ascii="Times New Roman" w:hAnsi="Times New Roman" w:cs="Times New Roman"/>
          <w:sz w:val="28"/>
          <w:szCs w:val="28"/>
        </w:rPr>
        <w:t>infrastrukturdakı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fiziki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məhdudiyyətlərlə</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bağlıdır</w:t>
      </w:r>
      <w:proofErr w:type="spellEnd"/>
      <w:r>
        <w:rPr>
          <w:rFonts w:ascii="Times New Roman" w:hAnsi="Times New Roman" w:cs="Times New Roman"/>
          <w:sz w:val="28"/>
          <w:szCs w:val="28"/>
        </w:rPr>
        <w:t xml:space="preserve"> </w:t>
      </w:r>
      <w:r>
        <w:rPr>
          <w:rFonts w:ascii="Times New Roman" w:hAnsi="Times New Roman" w:cs="Times New Roman"/>
          <w:sz w:val="28"/>
          <w:szCs w:val="28"/>
          <w:lang w:val="tr-TR"/>
        </w:rPr>
        <w:t>[20]. Məntəqələr üzrə əməliyyat ardıcıllığı tam avtomatlaşdırılmadıqda, sürücünün nəqliyyat vasitəsini müəyyən nöqtələrdə saxlaması, kabinadan çıxaraq müxtəlif pəncərələrə yaxınlaşması, sənədləri əl ilə təqdim etməsi, fərqli nəzarət orqanları arasında fiziki hərəkət etməsi zəncirvari gecikmə yaradır və nəticədə tək bir nəzarət mərhələsinin yubanması bütün karvanın buraxılış ritmini pozur.</w:t>
      </w:r>
    </w:p>
    <w:p w14:paraId="13182BC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Eyni beynəlxalq nəqliyyat dəhlizi üzərində yerləşən məntəqələr arasında müqayisə aparıldıqda, məsələn, Azərbaycan tərəfindəki “Qırmızı Körpü/Krasnı Most” keçidi ilə Gürcüstan tərəfindəki “Tsiteli Xidi” məntəqəsi arasında əməliyyat dizaynı baxımından nəzərəçarpan fərqlər meydana çıxır və bu fərqlər bir çox hallarda logistika səmərəliliyinin əsas izah edən amillərinə çevrilir. Gürcüstan tərəfində bəzi prosedurların daha geniş rəqəmsallaşdırılması, nəzarət orqanlarının funksiyalarının daha yüksək inteqrasiya səviyyəsi və sənədlərin öncədən təqdimatı mexanizmlərindən daha intensiv istifadə olunması nəticəsində nəqliyyat vasitəsinin tam dayanma müddəti nisbətən qısalır, bu da eyni koridor üzrə marşrut seçimi zamanı daşıyıcıların qərarlarına təsir göstərən praktik fərq yaradır.</w:t>
      </w:r>
    </w:p>
    <w:p w14:paraId="21547997"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tərəfində müəyyən məntəqələrdə hələ də sürücünün nəqliyyat vasitəsindən düşərək sənədləri əl ilə təqdim etməsi, müxtəlif nəzarət nöqtələrinə fiziki şəkildə yaxınlaşması və bəzi hallarda məlumatların həm kağız, həm də elektron formada təkrar təqdim edilməsi tələb olunduğu üçün logistika zənciri texnoloji baxımdan parçalanmış struktur alır və bu parçalanma həm vaxt, həm də əməliyyat xərcləri baxımından əlavə yük formalaşdırır. Belə şəraitdə gömrük və digər sərhəd nəzarəti qurumları tərəfindən tətbiq olunan rəqəmsal sistemlərin potensialı tam reallaşmır, çünki rəqəmsal platformalar zəncirin yalnız müəyyən mərhələlərində istifadə olunur, prosesin digər hissələri isə ənənəvi fiziki əməliyyatlar üzərində qalır və nəticədə ümumi prosesin orta sürəti ən zəif həlqənin məhsuldarlığı ilə məhdudlaşdırılır.</w:t>
      </w:r>
    </w:p>
    <w:p w14:paraId="40C958D7"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Logistika səmərəliliyi kontekstində vaxtın artması birbaşa olaraq daşıyıcıların yanacaq, personal, park dayanacağı və digər əməliyyat xərclərinin yüksəlməsi ilə nəticələnir, tranzit etibarlılığının zəifləməsi isə marşrutların rəqabət qabiliyyətini azaldır və koridorun beynəlxalq yük axınlarından əldə etdiyi paya mənfi təsir göstərir [36]. Eyni zamanda gecikmələrin davamlı xarakter alması logistika şirkətlərinin təhlükəsizlik ehtiyatı kimi əlavə vaxt marjası nəzərdə tutmasına, yüklərin çatdırılma müddətinin müqavilələrdə daha geniş intervalda göstərilməsinə və beləliklə ticarət tərəfdaşları arasında etimadın institusional səviyyədə zədələnməsinə gətirib çıxarır ki, bu da uzunmüddətli dövrdə Azərbaycan ərazisindən keçən sərhəd-keçid məntəqələrinin regional nəqliyyat şəbəkəsində strateji rolunu zəiflədən struktur risk faktoru kimi qiymətləndirilməlidir.</w:t>
      </w:r>
    </w:p>
    <w:p w14:paraId="076218C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sərhəd</w:t>
      </w:r>
      <w:r>
        <w:rPr>
          <w:rFonts w:ascii="Times New Roman" w:hAnsi="Times New Roman" w:cs="Times New Roman"/>
          <w:sz w:val="28"/>
          <w:szCs w:val="28"/>
          <w:lang w:val="tr-TR"/>
        </w:rPr>
        <w:noBreakHyphen/>
        <w:t>keçid məntəqələrində logistika və nəqliyyat xərclərinin strukturu üzrə müşahidə olunan tendensiyalar göstərir ki, təkcə sərhəd prosedurlarının optimallaşdırılması ümumi marşrut üzrə daşıma dəyərinin azalması üçün kifayət etmir və nəticədə qənaətin lokal təsiri marşrutun digər hissələrində yaranan əlavə xərclərlə kompensasiya olunur. CAREC çərçivəsində aparılan ölçmələrin nəticələri göstərir ki, 20 tonluq tipik yük vahidi üçün sərhəd</w:t>
      </w:r>
      <w:r>
        <w:rPr>
          <w:rFonts w:ascii="Times New Roman" w:hAnsi="Times New Roman" w:cs="Times New Roman"/>
          <w:sz w:val="28"/>
          <w:szCs w:val="28"/>
          <w:lang w:val="tr-TR"/>
        </w:rPr>
        <w:noBreakHyphen/>
        <w:t>keçid xərcləri formal rüsumlar, rəsmi haqlar və bir sıra xidmət tarifləri baxımından müəyyən dərəcədə azalsa da, hər 500 km üçün hesablanan ümumi nəqliyyat xərci əks istiqamətdə artım nümayiş etdirir və bu artım logistika zəncirinin digər həlqələrində yığılan xərclərin intensivliyini əks etdirir.​</w:t>
      </w:r>
    </w:p>
    <w:p w14:paraId="595D80F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Xərclər strukturunun təhlili göstərir ki, sərhəd</w:t>
      </w:r>
      <w:r>
        <w:rPr>
          <w:rFonts w:ascii="Times New Roman" w:hAnsi="Times New Roman" w:cs="Times New Roman"/>
          <w:sz w:val="28"/>
          <w:szCs w:val="28"/>
          <w:lang w:val="tr-TR"/>
        </w:rPr>
        <w:noBreakHyphen/>
        <w:t>keçid məntəqəsində əlavə dayanma, marşrutun planlaşdırılandan artıq vaxt tələb etməsi və daşıyıcıların boş qayıtması kimi amillər ümumi logistika büdcəsində birbaşa maliyyə yükü formalaşdırır və bu yük yalnız rəsmi rüsumlarla məhdudlaşmır, eyni zamanda dolayı xərclər qatı yaradır. Nəqliyyat vasitəsinin sərhəd zonasına daxil olduqdan sonra növbə, fiziki müayinə, sənədlərin təqdimatı və digər prosedurlar səbəbindən uzun müddət dayanma vəziyyətində qalması sürücü əməkhaqqı, yanacaq sərfi, avadanlığın amortizasiyası, eləcə də marşrutun gecikməsi nəticəsində müqavilə şərtlərinin yerinə yetirilməməsi riskini artırır və bu risk daşıyıcı şirkətlərin qiymət siyasətinə əlavə risk primi kimi daxil edilir.</w:t>
      </w:r>
    </w:p>
    <w:p w14:paraId="7329EC3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Terminal xidmətlərinin qiymətləri xərclər strukturunda xüsusi çəkiyə malikdir, çünki saxlanma, park, müxtəlif xidmət haqları və əlavə logistika xidmətləri (yükün yenidən yüklənməsi, plombun dəyişdirilməsi, texniki dəstək və s.) marjinal xərclər kimi görünməsinə baxmayaraq, sərhəd zonasında gecikmələr artdıqca kumulyativ təsir göstərir və marşrut üzrə vahid yük vahidinə düşən orta xərci yüksəldir [45]. Bu xüsusilə o hallarda daha qabarıq şəkildə üzə çıxır ki, terminal infrastrukturunda rəqabət məhdud, tarif siyasəti isə elastikliyi aşağı olan şərait mövcuddur və daşıyıcı üçün alternativ xidmət provayderi seçimi praktik olaraq məhdudlaşır.</w:t>
      </w:r>
    </w:p>
    <w:p w14:paraId="2A58857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Boş qayıtma fenomeni də xərclər strukturunun mühüm elementinə çevrilir, çünki tranzit və ya ikitərəfli daşımalar üzrə yük balansının pozulduğu hallarda nəqliyyat vasitəsi geri dönüş marşrutunu tam və ya qismən yüklənməmiş şəkildə qət edir və bu zaman marşrutun ikinci hissəsi faktiki olaraq gəlir gətirməyən, lakin eyni yanacaq, amortizasiya və personal xərclərini tələb edən seqment kimi formalaşır. Belə vəziyyətdə sərhəd</w:t>
      </w:r>
      <w:r>
        <w:rPr>
          <w:rFonts w:ascii="Times New Roman" w:hAnsi="Times New Roman" w:cs="Times New Roman"/>
          <w:sz w:val="28"/>
          <w:szCs w:val="28"/>
          <w:lang w:val="tr-TR"/>
        </w:rPr>
        <w:noBreakHyphen/>
        <w:t>keçid məntəqəsində aparılan optimallaşdırma tədbirlərinin yaratdığı məhdud qənaət ümumi marşrutun maliyyə riyaziyyatında zəif görünür, çünki boş qayıtma dərəcəsinin yüksək olması xərclərin orta səviyyəsini struktur baxımından yuxarı səviyyədə saxlayır.</w:t>
      </w:r>
    </w:p>
    <w:p w14:paraId="21055E7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Sərhəd</w:t>
      </w:r>
      <w:r>
        <w:rPr>
          <w:rFonts w:ascii="Times New Roman" w:hAnsi="Times New Roman" w:cs="Times New Roman"/>
          <w:sz w:val="28"/>
          <w:szCs w:val="28"/>
          <w:lang w:val="tr-TR"/>
        </w:rPr>
        <w:noBreakHyphen/>
        <w:t>keçid xərclərinin nominal azalması ilə eyni zamanda hər 500 km üçün ümumi nəqliyyat xərclərinin artması faktı göstərir ki, Azərbaycan üçün logistika siyasətində prioritet yalnız sərhəd prosedurlarının sadələşdirilməsi ilə məhdudlaşmamalı, marşrutun bütövlükdə optimallaşdırılması, terminal xidmətləri bazarının səmərəliliyi, yük axınlarının balanslaşdırılması və boş qayıtma səviyyəsinin azaldılması istiqamətlərində kompleks yanaşma formalaşdırılmalıdır. Belə sistemli yanaşma olmadıqda sərhəddə əldə edilən texniki və təşkilati qənaət marşrutun digər hissələrində ortaya çıxan struktur xərclər fonunda neytrallaşır və nəticədə nəqliyyat dəhlizinin ümumi rəqabət qabiliyyəti arzu olunan səviyyəyə yüksəlmir.</w:t>
      </w:r>
    </w:p>
    <w:p w14:paraId="6606614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sərhəd</w:t>
      </w:r>
      <w:r>
        <w:rPr>
          <w:rFonts w:ascii="Times New Roman" w:hAnsi="Times New Roman" w:cs="Times New Roman"/>
          <w:sz w:val="28"/>
          <w:szCs w:val="28"/>
          <w:lang w:val="tr-TR"/>
        </w:rPr>
        <w:noBreakHyphen/>
        <w:t>keçid məntəqələrində logistika, vaxt və xərclər baxımından səmərəlilik problemlərinin mühüm hissəsi mövcud fiziki infrastrukturun planlaşdırılması və nəzarət proseslərinin təşkilati dizaynı ilə bağlıdır və bu amillər saatlıq ötürmə qabiliyyətinin məhdudlaşmasına birbaşa təsir göstərir. Sərhəd məntəqələrinin bir qismində xidmət pəncərələrinin yerləşmə sxemi nəqliyyat vasitələrinin “drive</w:t>
      </w:r>
      <w:r>
        <w:rPr>
          <w:rFonts w:ascii="Times New Roman" w:hAnsi="Times New Roman" w:cs="Times New Roman"/>
          <w:sz w:val="28"/>
          <w:szCs w:val="28"/>
          <w:lang w:val="tr-TR"/>
        </w:rPr>
        <w:noBreakHyphen/>
        <w:t>through” prinsipinə uyğun, fasiləsiz hərəkət trayektoriyası ilə buraxılmasına şərait yaratmır, nəticədə sürücü nəqliyyat vasitəsini dayandırır, kabinadan düşərək pəncərəyə yaxınlaşır, sənədləri fiziki formada təqdim edir, daha sonra yenidən avtomobilə minərək hərəkəti davam etdirir və bu ardıcıl əməliyyatlar bütövlükdə hər bir nəqliyyat vasitəsi üzrə xidmət müddətini uzadır [49]. Bu cür texnoloji ardıcıllıq saatlıq buraxılış gücünü aşağı salır, növbələrin yığılmasına, yük və sərnişin axınlarının pik saatlarda idarə olunmasının çətinləşməsinə gətirib çıxarır və beləliklə, logistika zəncirinin ümumi səmərəliliyini azaldan struktur məhdudiyyət formalaşdırır.</w:t>
      </w:r>
    </w:p>
    <w:p w14:paraId="1DCE133F"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İnfrastrukturun keyfiyyət və tutum baxımından məntəqələr üzrə qeyri</w:t>
      </w:r>
      <w:r>
        <w:rPr>
          <w:rFonts w:ascii="Times New Roman" w:hAnsi="Times New Roman" w:cs="Times New Roman"/>
          <w:sz w:val="28"/>
          <w:szCs w:val="28"/>
          <w:lang w:val="tr-TR"/>
        </w:rPr>
        <w:noBreakHyphen/>
        <w:t>bərabər paylanması da səmərəlilik problemlərinin davamlı xarakter almasına səbəb olur, çünki bəzi keçid məntəqələrində park sahələrinin həcmi, terminal binalarının funksional planı, skaner və digər texniki vasitələrin sayı, eləcə də elektron növbə sisteminin tətbiq və idarəetmə səviyyəsi nəqliyyat axınlarının mövcud və perspektiv həcminə adekvat deyil. Bu vəziyyətdə yük və sərnişin axınları daha yaxşı infrastrukturla təmin edilmiş, lakin fiziki tutumu məhdud olan məntəqələrdə toplanır, digər məntəqələrdə isə nisbətən aşağı yüklənmə müşahidə olunur və nəticədə sərhəd şəbəkəsi bütövlükdə balanslaşdırılmamış struktur alır. Park sahələrinin məhdudluğu uzunmüddətli dayanma hallarını artırır, skaner və nəzarət avadanlıqlarının sayının yetersizliyi yoxlama prosesində dar boğazlar yaradır, elektron növbə sisteminin tətbiq edilmədiyi və ya tam inteqrasiya olunmadığı məntəqələrdə isə növbə idarəetməsi daha çox fiziki sıralanma və operativ şifahi koordinasiya əsasında təşkil olunur ki, bu da həm şəffaflığı zəiflədir, həm də vaxt itkisini artırır.</w:t>
      </w:r>
    </w:p>
    <w:p w14:paraId="05C50B71"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Təşkilati baxımdan səmərəlilik problemləri yalnız infrastruktura edilmiş sərmayənin həcmi ilə deyil, bu infrastrukturdan istifadə modelinin keyfiyyəti ilə də şərtlənir, çünki bir sıra məntəqələrdə nəzarət orqanlarının fiziki yerləşməsi, xidmət pəncərələrinin funksional bölgüsü və piyada axını ilə yük nəqliyyatı axınının kəsişmə nöqtələri optimallaşdırılmayıb, nəticədə xidmət pəncərələri qarşısında sıxlıq yaranır, nəqliyyat vasitələrinin hərəkət trayektoriyasında əlavə manevr zərurəti formalaşır və həyət daxilində logistika axını parçalanmış strukturda fəaliyyət göstərir. Belə şəraitdə ticarətin asanlaşdırılması üzrə rəqəmsal həllər tam funksional təsir göstərə bilmir, çünki elektron bəyannamə, əvvəlcədən məlumatlandırma və risk əsaslı seçmə alətləri real fiziki axınla sinxronlaşdırılmadıqda, nəqliyyat vasitəsi yenə də eyni sayda fiziki dayanma nöqtəsindən keçməli olur və bu da sərhəd</w:t>
      </w:r>
      <w:r>
        <w:rPr>
          <w:rFonts w:ascii="Times New Roman" w:hAnsi="Times New Roman" w:cs="Times New Roman"/>
          <w:sz w:val="28"/>
          <w:szCs w:val="28"/>
          <w:lang w:val="tr-TR"/>
        </w:rPr>
        <w:noBreakHyphen/>
        <w:t>keçid prosesinin texnoloji modernləşməsini məhdudlaşdıran institusional faktor kimi qalır [46].</w:t>
      </w:r>
    </w:p>
    <w:p w14:paraId="7354A053"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sərhəd</w:t>
      </w:r>
      <w:r>
        <w:rPr>
          <w:rFonts w:ascii="Times New Roman" w:hAnsi="Times New Roman" w:cs="Times New Roman"/>
          <w:sz w:val="28"/>
          <w:szCs w:val="28"/>
          <w:lang w:val="tr-TR"/>
        </w:rPr>
        <w:noBreakHyphen/>
        <w:t>keçid məntəqələrində səmərəlilik problemlərinin aradan qaldırılması üçün təkcə informasiya sistemlərinin təkmilləşdirilməsi deyil, həm də xidmət pəncərələrinin “drive</w:t>
      </w:r>
      <w:r>
        <w:rPr>
          <w:rFonts w:ascii="Times New Roman" w:hAnsi="Times New Roman" w:cs="Times New Roman"/>
          <w:sz w:val="28"/>
          <w:szCs w:val="28"/>
          <w:lang w:val="tr-TR"/>
        </w:rPr>
        <w:noBreakHyphen/>
        <w:t>through” prinsipinə uyğun yenidən layihələndirilməsi, park və terminal sahələrinin funksional zonalara bölünməsi, skaner avadanlıqlarının buraxılış gücünə uyğun sayda yerləşdirilməsi və elektron növbə sisteminin bütün əsas məntəqələr üzrə vahid standartla tətbiqi tələb olunur. Belə kompleks yanaşma sərhəd məntəqələrində infrastruktur və təşkilati dizaynın logistika axınları ilə uyğunlaşdırılmasını təmin etməklə, həm vaxt itkisini azaldan, həm də xərclər strukturunu optimallaşdıran davamlı institusional transformasiya üçün baza yaradar.</w:t>
      </w:r>
    </w:p>
    <w:p w14:paraId="10978BC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sərhəd</w:t>
      </w:r>
      <w:r>
        <w:rPr>
          <w:rFonts w:ascii="Times New Roman" w:hAnsi="Times New Roman" w:cs="Times New Roman"/>
          <w:sz w:val="28"/>
          <w:szCs w:val="28"/>
          <w:lang w:val="tr-TR"/>
        </w:rPr>
        <w:noBreakHyphen/>
        <w:t>keçid məntəqələrində logistika, vaxt və xərclər baxımından səmərəlilik problemlərinin mühüm səbəblərindən biri rəqəmsallaşma həllərinin konseptual səviyyədə formalaşdırılmasına baxmayaraq, bütün nəzarət orqanları və qonşu ölkə strukturları üzrə inteqrasiyanın tam institusional yetkinliyə çatmamasıdır. Rəqəmsal “vahid pəncərə”, tranzit yüklərin vahid idarəetmə mərkəzi və elektron gömrük platformaları kimi alətlər gömrük orqanı daxilində məlumat axınlarını müəyyən dərəcədə standartlaşdırsa da, sərhəddə paralel fəaliyyət göstərən digər dövlət qurumlarının informasiya sistemləri ilə, eləcə də qarşı tərəf ölkənin müvafiq strukturları ilə tam funksional inteqrasiya təmin edilmədikdə, eyni məlumatların müxtəlif platformalara və müxtəlif qurumlara təkrar təqdim edilməsi praktikası davam edir və bu təkrarçılıq logistika zəncirində həm vaxt itkisi, həm də əlavə inzibati yük yaradır [12].​</w:t>
      </w:r>
    </w:p>
    <w:p w14:paraId="20DA6CC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Rəqəmsal koordinasiya mexanizmlərinin tam yetkin olmaması sənədləşmə prosesinin strukturunda da aydın şəkildə özünü göstərir, çünki bəyannamə, icazə sənədləri, müşayiətedici fakturalar və digər məlumat blokları üzrə standart formatlar tam harmonizə edilmədikdə, sahibkar və daşıyıcı üçün müxtəlif qurumların tələblərinə uyğun ayrıca sənəd paketləri formalaşdırmaq zərurəti yaranır və bu prosesdə insan amilinin payı yüksək olaraq qalır. Sərhəd orqanları arasında vahid rəqəmsal “data</w:t>
      </w:r>
      <w:r>
        <w:rPr>
          <w:rFonts w:ascii="Times New Roman" w:hAnsi="Times New Roman" w:cs="Times New Roman"/>
          <w:sz w:val="28"/>
          <w:szCs w:val="28"/>
          <w:lang w:val="tr-TR"/>
        </w:rPr>
        <w:noBreakHyphen/>
        <w:t>sharing” protokollarının məhdudluğu səbəbindən gömrük sistemində artıq mövcud olan məlumatlar digər nəzarət orqanları üçün avtomatik şəkildə əlçatan olmur, bu isə identik məlumatların yenidən tələb edilməsinə, həmçinin kağız daşıyıcılardan istifadənin tam aradan qalxmamasına gətirib çıxarır və nəticədə rəqəmsallaşmanın nəzəri potensialı faktiki əməliyyat səviyyəsində tam reallaşmır.​</w:t>
      </w:r>
    </w:p>
    <w:p w14:paraId="768B97B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Risk əsaslı yoxlama və əvvəlcədən məlumat mübadiləsi mexanizmlərinin səmərəli işləməsi üçün tələb olunan informasiya keyfiyyəti, vaxtında təqdimat intizamı və inter</w:t>
      </w:r>
      <w:r>
        <w:rPr>
          <w:rFonts w:ascii="Times New Roman" w:hAnsi="Times New Roman" w:cs="Times New Roman"/>
          <w:sz w:val="28"/>
          <w:szCs w:val="28"/>
          <w:lang w:val="tr-TR"/>
        </w:rPr>
        <w:noBreakHyphen/>
        <w:t>agent koordinasiya səviyyəsi təmin edilmədikdə, risk idarəetmə sistemləri geniş spektrli yüklər üçün “aşağı risk” statusunu texniki cəhətdən əsaslandıra bilmir və bu vəziyyətdə fiziki yoxlamaların faizi yüksəlir. Risklərin qiymətləndirilməsi üçün kifayət qədər strukturlaşdırılmış əvvəlcədən məlumat daxil olmadığı hallarda nəzarət orqanları ehtiyatlı yanaşma çərçivəsində daha çox nəqliyyat vasitəsini skanerləşdirmə, plomb yoxlaması və digər fiziki nəzarət formalarına cəlb edir, bu isə sərhəd</w:t>
      </w:r>
      <w:r>
        <w:rPr>
          <w:rFonts w:ascii="Times New Roman" w:hAnsi="Times New Roman" w:cs="Times New Roman"/>
          <w:sz w:val="28"/>
          <w:szCs w:val="28"/>
          <w:lang w:val="tr-TR"/>
        </w:rPr>
        <w:noBreakHyphen/>
        <w:t>keçid məntəqələrində növbələrin yaranmasına, orta xidmət müddətinin artmasına və tranzit etibarlılığının zəifləməsinə səbəb olur.​</w:t>
      </w:r>
    </w:p>
    <w:p w14:paraId="6448DCC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Əvvəlcədən məlumat mübadiləsi mexanizmləri nəqliyyat</w:t>
      </w:r>
      <w:r>
        <w:rPr>
          <w:rFonts w:ascii="Times New Roman" w:hAnsi="Times New Roman" w:cs="Times New Roman"/>
          <w:sz w:val="28"/>
          <w:szCs w:val="28"/>
          <w:lang w:val="tr-TR"/>
        </w:rPr>
        <w:noBreakHyphen/>
        <w:t>logistika zəncirinin bütün iştirakçıları tərəfindən sistemli istifadə edilmədikdə, sərhəd orqanları yüklə bağlı zəruri informasiyanı əsasən nəqliyyat vasitəsi məntəqəyə daxil olduqdan sonra əldə edir və bu halda risk profillərinin tətbiqi real vaxt rejimində aparılan dəyərləndirmə ilə məhdudlaşır. Halbuki konseptual olaraq risk əsaslı seçmə modelinin effektivliyi yüklərin müəyyən hissəsi üçün nəzarət dərinliyinin azaldılması hesabına sərhəd resurslarının daha hədəfli şəkildə yönəldilməsinə əsaslanır və belə yanaşma yalnız o zaman tam işlək ola bilər ki, əvvəlcədən təqdim olunan məlumatların dolğunluğu və etibarlılığı təmin edilsin, nəzarət orqanları arasındakı koordinasiya bu məlumatların birgə istifadəsini mümkün etsin [11].​</w:t>
      </w:r>
    </w:p>
    <w:p w14:paraId="5A4B14F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Rəqəmsallaşma və koordinasiya sahəsində mövcud boşluqlar Azərbaycan sərhəd</w:t>
      </w:r>
      <w:r>
        <w:rPr>
          <w:rFonts w:ascii="Times New Roman" w:hAnsi="Times New Roman" w:cs="Times New Roman"/>
          <w:sz w:val="28"/>
          <w:szCs w:val="28"/>
          <w:lang w:val="tr-TR"/>
        </w:rPr>
        <w:noBreakHyphen/>
        <w:t>keçid məntəqələrində logistika, vaxt və xərclər baxımından səmərəlilik problemlərinin struktur əsasını təşkil edir, çünki rəqəmsal “vahid pəncərə” modelinin tam institusional təsiri yalnız bütün sərhəd orqanlarının informasiya sistemlərinin inteqrasiyası, qarşı tərəf ölkələrin platformaları ilə qarşılıqlı məlumat mübadiləsinin standartlaşdırılması, sənədləşmə formatlarının harmonizasiyası və risk əsaslı yoxlama alqoritmlərinin real əməliyyat praktikasında prioritet tətbiqi şəraitində reallaşa bilər. Bu istiqamətdə kompleks koordinasiya islahatları aparılmadıqda, rəqəmsal həllər formal texnoloji yenilik statusunda qalır, sərhəd</w:t>
      </w:r>
      <w:r>
        <w:rPr>
          <w:rFonts w:ascii="Times New Roman" w:hAnsi="Times New Roman" w:cs="Times New Roman"/>
          <w:sz w:val="28"/>
          <w:szCs w:val="28"/>
          <w:lang w:val="tr-TR"/>
        </w:rPr>
        <w:noBreakHyphen/>
        <w:t>keçid prosesinin faktiki sürəti və xərclər strukturu isə logistika zəncirində ənənəvi fiziki prosedurların diktə etdiyi səviyyədə formalaşmağa davam edir.​</w:t>
      </w:r>
    </w:p>
    <w:p w14:paraId="0D700A9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sərhəd</w:t>
      </w:r>
      <w:r>
        <w:rPr>
          <w:rFonts w:ascii="Times New Roman" w:hAnsi="Times New Roman" w:cs="Times New Roman"/>
          <w:sz w:val="28"/>
          <w:szCs w:val="28"/>
          <w:lang w:val="tr-TR"/>
        </w:rPr>
        <w:noBreakHyphen/>
        <w:t>keçid məntəqələrində logistika, vaxt və xərclər baxımından səmərəlilik problemlərinin azaldılması istiqamətində həyata keçirilən islahatlar təkcə inzibati prosedurların sadələşdirilməsi ilə məhdudlaşmır, həm də sərhəd infrastrukturunun fiziki və texnoloji baxımdan yenilənməsi, tranzit dəhlizlərinin buraxıcılıq qabiliyyətinin artırılması kimi strateji hədəfləri ehtiva edir. 2024–2026</w:t>
      </w:r>
      <w:r>
        <w:rPr>
          <w:rFonts w:ascii="Times New Roman" w:hAnsi="Times New Roman" w:cs="Times New Roman"/>
          <w:sz w:val="28"/>
          <w:szCs w:val="28"/>
          <w:lang w:val="tr-TR"/>
        </w:rPr>
        <w:noBreakHyphen/>
        <w:t>cı illər üçün təsdiq edilmiş fəaliyyət planlarında Qırmızı Körpü, Samur, Biləsuvar və digər əsas sərhəd keçid məntəqələrində yeni logistika və gömrük terminallarının tikintisi, mövcud infrastrukturun yenidən qurulması, yüksək məhsuldarlıqlı skanerlərin və digər texniki nəzarət vasitələrinin quraşdırılması xüsusi prioritet kimi təsbit olunur və bu layihələr sərhəddə faktiki xidmət müddətini azaltmaq, saatlıq ötürmə qabiliyyətini artırmaq və növbə uzunluğunu qısaltmaq məqsədinə xidmət edir.</w:t>
      </w:r>
    </w:p>
    <w:p w14:paraId="1E52376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Yeni terminalların layihələndirilməsi sərnişin və yük axınlarının ayrılmasını, ağır tonnajlı avtomobillər üçün ayrıca hərəkət zolaqlarının formalaşdırılmasını, park və gözləmə sahələrinin buraxılış gücünə adekvat ölçüdə genişləndirilməsini, həmçinin skanerlərin “drive</w:t>
      </w:r>
      <w:r>
        <w:rPr>
          <w:rFonts w:ascii="Times New Roman" w:hAnsi="Times New Roman" w:cs="Times New Roman"/>
          <w:sz w:val="28"/>
          <w:szCs w:val="28"/>
          <w:lang w:val="tr-TR"/>
        </w:rPr>
        <w:noBreakHyphen/>
        <w:t>through” prinsipi ilə işləməsinə imkan verən texnoloji trayektoriyaların qurulmasını nəzərdə tutur ki, bu yanaşma nəqliyyat vasitəsinin sərhəd məntəqəsində keçirdiyi hər əlavə dəqiqənin logistika xərclərinə çevrilməsi zəncirini qırmağa yönəlir. Müasir skanerlərin tətbiqi selektiv, risk əsaslı fiziki nəzarəti gücləndirir, yük bölmələrinin açılması və yenidən plomb vurulması kimi vaxt aparan əməliyyatların sayını azaldır, eyni zamanda təhlükəsizlik standartlarının yumşaldılmadan ticarətin asanlaşdırılması istiqamətində balanslaşdırılmış idarəetmə modelinin qurulmasına imkan verir.</w:t>
      </w:r>
    </w:p>
    <w:p w14:paraId="5324B61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Regional səviyyədə aparılan tədqiqatlar sərhəddə vaxt amilinin ticarət həcmlərinə təsirini riyazi olaraq qiymətləndirərək göstərir ki, sərhəd keçid vaxtının 10% azaldılması intra</w:t>
      </w:r>
      <w:r>
        <w:rPr>
          <w:rFonts w:ascii="Times New Roman" w:hAnsi="Times New Roman" w:cs="Times New Roman"/>
          <w:sz w:val="28"/>
          <w:szCs w:val="28"/>
          <w:lang w:val="tr-TR"/>
        </w:rPr>
        <w:noBreakHyphen/>
        <w:t>regional ticarətdə təxminən 1.4% artıma gətirib çıxara bilir və bu kəmiyyət əlaqəsi sərhəd</w:t>
      </w:r>
      <w:r>
        <w:rPr>
          <w:rFonts w:ascii="Times New Roman" w:hAnsi="Times New Roman" w:cs="Times New Roman"/>
          <w:sz w:val="28"/>
          <w:szCs w:val="28"/>
          <w:lang w:val="tr-TR"/>
        </w:rPr>
        <w:noBreakHyphen/>
        <w:t>keçid məntəqələrinin səmərəliliyinin makroiqtisadi nəticələrini demonstrativ şəkildə ortaya qoyur [11]. Belə şəraitdə Azərbaycanın tranzit dəhliz kimi rəqabət qabiliyyəti təkcə coğrafi mövqedən deyil, həm də konkret sərhəd məntəqəsində hər bir yük vahidinin keçid müddəti, xərclər strukturu, logistika xidmətlərinin keyfiyyəti və rəqəmsal xidmətlərin əlçatanlıq səviyyəsi kimi parametrlərdən asılı olur və bu parametrlərin yaxşılaşdırılması Transxəzər və CAREC dəhlizləri üzrə yük axınlarının Azərbaycan istiqamətinə yönəlməsində həlledici rol oynayır.</w:t>
      </w:r>
    </w:p>
    <w:p w14:paraId="4269C53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Davam edən islahatların potensial həll paketinə yalnız fiziki infrastrukturun yenilənməsi deyil, həm də gömrük, sərhəd xidməti, fitosanitar, baytarlıq və digər nəzarət orqanlarının prosedurlarının tam inteqrasiyası, rəqəmsal “vahid pəncərə” modelinin bütün əməliyyat mərhələlərini əhatə etməsi, qonşu ölkələrin sərhəd orqanları ilə paralel və sinxron nəzarət mexanizmlərinin tətbiqi daxildir. Bu istiqamətdə tranzit yüklərin vahid idarəetmə mərkəzləri, əvvəlcədən məlumat mübadiləsi platformaları, elektron növbə sistemləri və risk əsaslı seçmə alqoritmlərinin vahid informasiya məkanında birləşdirilməsi sərhəd</w:t>
      </w:r>
      <w:r>
        <w:rPr>
          <w:rFonts w:ascii="Times New Roman" w:hAnsi="Times New Roman" w:cs="Times New Roman"/>
          <w:sz w:val="28"/>
          <w:szCs w:val="28"/>
          <w:lang w:val="tr-TR"/>
        </w:rPr>
        <w:noBreakHyphen/>
        <w:t>keçid prosesini ayrı</w:t>
      </w:r>
      <w:r>
        <w:rPr>
          <w:rFonts w:ascii="Times New Roman" w:hAnsi="Times New Roman" w:cs="Times New Roman"/>
          <w:sz w:val="28"/>
          <w:szCs w:val="28"/>
          <w:lang w:val="tr-TR"/>
        </w:rPr>
        <w:noBreakHyphen/>
        <w:t>ayrı institusional zəncirlər toplusundan vahid, optimallaşdırılmış logistika ekosisteminə çevirə bilər və nəticə etibarilə həm vaxt, həm də xərclər baxımından səmərəliliyi yüksəldən dayanıqlı transformasiya trayektoriyası formalaşdırar.</w:t>
      </w:r>
    </w:p>
    <w:p w14:paraId="6EBF2E9C" w14:textId="77777777" w:rsidR="001F6AF2" w:rsidRDefault="001F6AF2">
      <w:pPr>
        <w:spacing w:after="0" w:line="360" w:lineRule="auto"/>
        <w:ind w:firstLine="709"/>
        <w:jc w:val="both"/>
        <w:rPr>
          <w:rFonts w:ascii="Times New Roman" w:hAnsi="Times New Roman" w:cs="Times New Roman"/>
          <w:sz w:val="28"/>
          <w:szCs w:val="28"/>
          <w:lang w:val="tr-TR"/>
        </w:rPr>
      </w:pPr>
    </w:p>
    <w:p w14:paraId="376C04E4" w14:textId="77777777" w:rsidR="001F6AF2" w:rsidRDefault="001F6AF2">
      <w:pPr>
        <w:spacing w:after="0" w:line="360" w:lineRule="auto"/>
        <w:ind w:firstLine="709"/>
        <w:jc w:val="both"/>
        <w:rPr>
          <w:rFonts w:ascii="Times New Roman" w:hAnsi="Times New Roman" w:cs="Times New Roman"/>
          <w:sz w:val="28"/>
          <w:szCs w:val="28"/>
          <w:lang w:val="tr-TR"/>
        </w:rPr>
      </w:pPr>
    </w:p>
    <w:p w14:paraId="46048029" w14:textId="77777777" w:rsidR="001F6AF2" w:rsidRDefault="001F6AF2">
      <w:pPr>
        <w:spacing w:after="0" w:line="360" w:lineRule="auto"/>
        <w:ind w:firstLine="709"/>
        <w:jc w:val="both"/>
        <w:rPr>
          <w:rFonts w:ascii="Times New Roman" w:hAnsi="Times New Roman" w:cs="Times New Roman"/>
          <w:sz w:val="28"/>
          <w:szCs w:val="28"/>
          <w:lang w:val="tr-TR"/>
        </w:rPr>
      </w:pPr>
    </w:p>
    <w:p w14:paraId="35B57CDC" w14:textId="77777777" w:rsidR="001F6AF2" w:rsidRDefault="001F6AF2">
      <w:pPr>
        <w:spacing w:after="0" w:line="360" w:lineRule="auto"/>
        <w:ind w:firstLine="709"/>
        <w:jc w:val="both"/>
        <w:rPr>
          <w:rFonts w:ascii="Times New Roman" w:hAnsi="Times New Roman" w:cs="Times New Roman"/>
          <w:sz w:val="28"/>
          <w:szCs w:val="28"/>
          <w:lang w:val="tr-TR"/>
        </w:rPr>
      </w:pPr>
    </w:p>
    <w:p w14:paraId="0E83E735" w14:textId="77777777" w:rsidR="001F6AF2" w:rsidRDefault="001F6AF2">
      <w:pPr>
        <w:spacing w:after="0" w:line="360" w:lineRule="auto"/>
        <w:ind w:firstLine="709"/>
        <w:jc w:val="both"/>
        <w:rPr>
          <w:rFonts w:ascii="Times New Roman" w:hAnsi="Times New Roman" w:cs="Times New Roman"/>
          <w:sz w:val="28"/>
          <w:szCs w:val="28"/>
          <w:lang w:val="tr-TR"/>
        </w:rPr>
      </w:pPr>
    </w:p>
    <w:p w14:paraId="75498337" w14:textId="77777777" w:rsidR="001F6AF2" w:rsidRDefault="001F6AF2">
      <w:pPr>
        <w:spacing w:after="0" w:line="360" w:lineRule="auto"/>
        <w:ind w:firstLine="709"/>
        <w:jc w:val="both"/>
        <w:rPr>
          <w:rFonts w:ascii="Times New Roman" w:hAnsi="Times New Roman" w:cs="Times New Roman"/>
          <w:sz w:val="28"/>
          <w:szCs w:val="28"/>
          <w:lang w:val="tr-TR"/>
        </w:rPr>
      </w:pPr>
    </w:p>
    <w:p w14:paraId="203BC035" w14:textId="77777777" w:rsidR="001F6AF2" w:rsidRDefault="001F6AF2">
      <w:pPr>
        <w:spacing w:after="0" w:line="360" w:lineRule="auto"/>
        <w:ind w:firstLine="709"/>
        <w:jc w:val="both"/>
        <w:rPr>
          <w:rFonts w:ascii="Times New Roman" w:hAnsi="Times New Roman" w:cs="Times New Roman"/>
          <w:sz w:val="28"/>
          <w:szCs w:val="28"/>
          <w:lang w:val="tr-TR"/>
        </w:rPr>
      </w:pPr>
    </w:p>
    <w:p w14:paraId="2F496209" w14:textId="77777777" w:rsidR="001F6AF2" w:rsidRDefault="001F6AF2">
      <w:pPr>
        <w:spacing w:after="0" w:line="360" w:lineRule="auto"/>
        <w:ind w:firstLine="709"/>
        <w:jc w:val="both"/>
        <w:rPr>
          <w:rFonts w:ascii="Times New Roman" w:hAnsi="Times New Roman" w:cs="Times New Roman"/>
          <w:sz w:val="28"/>
          <w:szCs w:val="28"/>
          <w:lang w:val="tr-TR"/>
        </w:rPr>
      </w:pPr>
    </w:p>
    <w:p w14:paraId="2D42B043" w14:textId="77777777" w:rsidR="001F6AF2" w:rsidRDefault="001F6AF2">
      <w:pPr>
        <w:spacing w:after="0" w:line="360" w:lineRule="auto"/>
        <w:ind w:firstLine="709"/>
        <w:jc w:val="both"/>
        <w:rPr>
          <w:rFonts w:ascii="Times New Roman" w:hAnsi="Times New Roman" w:cs="Times New Roman"/>
          <w:sz w:val="28"/>
          <w:szCs w:val="28"/>
          <w:lang w:val="tr-TR"/>
        </w:rPr>
      </w:pPr>
    </w:p>
    <w:p w14:paraId="7270CEA2" w14:textId="77777777" w:rsidR="001F6AF2" w:rsidRDefault="001F6AF2">
      <w:pPr>
        <w:spacing w:after="0" w:line="360" w:lineRule="auto"/>
        <w:ind w:firstLine="709"/>
        <w:jc w:val="both"/>
        <w:rPr>
          <w:rFonts w:ascii="Times New Roman" w:hAnsi="Times New Roman" w:cs="Times New Roman"/>
          <w:sz w:val="28"/>
          <w:szCs w:val="28"/>
          <w:lang w:val="tr-TR"/>
        </w:rPr>
      </w:pPr>
    </w:p>
    <w:p w14:paraId="6CB403F3" w14:textId="77777777" w:rsidR="001F6AF2" w:rsidRDefault="001F6AF2">
      <w:pPr>
        <w:spacing w:after="0" w:line="360" w:lineRule="auto"/>
        <w:ind w:firstLine="709"/>
        <w:jc w:val="both"/>
        <w:rPr>
          <w:rFonts w:ascii="Times New Roman" w:hAnsi="Times New Roman" w:cs="Times New Roman"/>
          <w:sz w:val="28"/>
          <w:szCs w:val="28"/>
          <w:lang w:val="tr-TR"/>
        </w:rPr>
      </w:pPr>
    </w:p>
    <w:p w14:paraId="51087F15" w14:textId="77777777" w:rsidR="001F6AF2" w:rsidRDefault="001F6AF2">
      <w:pPr>
        <w:spacing w:after="0" w:line="360" w:lineRule="auto"/>
        <w:ind w:firstLine="709"/>
        <w:jc w:val="both"/>
        <w:rPr>
          <w:rFonts w:ascii="Times New Roman" w:hAnsi="Times New Roman" w:cs="Times New Roman"/>
          <w:sz w:val="28"/>
          <w:szCs w:val="28"/>
          <w:lang w:val="tr-TR"/>
        </w:rPr>
      </w:pPr>
    </w:p>
    <w:p w14:paraId="4E002191" w14:textId="77777777" w:rsidR="001F6AF2" w:rsidRDefault="001F6AF2">
      <w:pPr>
        <w:spacing w:after="0" w:line="360" w:lineRule="auto"/>
        <w:ind w:firstLine="709"/>
        <w:jc w:val="both"/>
        <w:rPr>
          <w:rFonts w:ascii="Times New Roman" w:hAnsi="Times New Roman" w:cs="Times New Roman"/>
          <w:sz w:val="28"/>
          <w:szCs w:val="28"/>
          <w:lang w:val="tr-TR"/>
        </w:rPr>
      </w:pPr>
    </w:p>
    <w:p w14:paraId="7614A8D1"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rPr>
        <w:t>II FƏSİL. DÜNYA TƏCRÜBƏSINDƏ SƏRHƏDDƏ TICARƏTIN SƏMƏRƏLILIYININ ARTIRILMASI VƏ AZƏRBAYCAN ÜÇÜN TƏKMILLƏŞDIRMƏ ISTIQAMƏTLƏRI</w:t>
      </w:r>
    </w:p>
    <w:p w14:paraId="119D3E68"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lang w:val="az-Latn-AZ"/>
        </w:rPr>
        <w:t xml:space="preserve">3.1. Sərhəd-keçid </w:t>
      </w:r>
      <w:proofErr w:type="spellStart"/>
      <w:r>
        <w:rPr>
          <w:rFonts w:ascii="Times New Roman" w:hAnsi="Times New Roman" w:cs="Times New Roman"/>
          <w:b/>
          <w:bCs/>
          <w:color w:val="auto"/>
          <w:sz w:val="28"/>
          <w:szCs w:val="28"/>
          <w:lang w:val="az-Latn-AZ"/>
        </w:rPr>
        <w:t>prosedurlarının</w:t>
      </w:r>
      <w:proofErr w:type="spellEnd"/>
      <w:r>
        <w:rPr>
          <w:rFonts w:ascii="Times New Roman" w:hAnsi="Times New Roman" w:cs="Times New Roman"/>
          <w:b/>
          <w:bCs/>
          <w:color w:val="auto"/>
          <w:sz w:val="28"/>
          <w:szCs w:val="28"/>
          <w:lang w:val="az-Latn-AZ"/>
        </w:rPr>
        <w:t xml:space="preserve"> </w:t>
      </w:r>
      <w:proofErr w:type="spellStart"/>
      <w:r>
        <w:rPr>
          <w:rFonts w:ascii="Times New Roman" w:hAnsi="Times New Roman" w:cs="Times New Roman"/>
          <w:b/>
          <w:bCs/>
          <w:color w:val="auto"/>
          <w:sz w:val="28"/>
          <w:szCs w:val="28"/>
          <w:lang w:val="az-Latn-AZ"/>
        </w:rPr>
        <w:t>sadələşdirilməsində</w:t>
      </w:r>
      <w:proofErr w:type="spellEnd"/>
      <w:r>
        <w:rPr>
          <w:rFonts w:ascii="Times New Roman" w:hAnsi="Times New Roman" w:cs="Times New Roman"/>
          <w:b/>
          <w:bCs/>
          <w:color w:val="auto"/>
          <w:sz w:val="28"/>
          <w:szCs w:val="28"/>
          <w:lang w:val="az-Latn-AZ"/>
        </w:rPr>
        <w:t xml:space="preserve"> qabaqcıl beynəlxalq təcrübə və qlobal standartlar</w:t>
      </w:r>
    </w:p>
    <w:p w14:paraId="586FE59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xarici ticarət sektoru struktur baxımından dönüş nöqtəsindədir. Son onillik ərzində gömrük rəqəmsallaşdırılması və limanların modernləşdirilməsi sahəsində nəzərəçarpan irəliləyişlərə baxmayaraq, ölkənin sərhəd səmərəliliyi göstəriciləri bir sıra kritik ölçülər üzrə hələ də regional rəqiblərdən geri qalır. Bu göstəricilərin yaxşılaşdırılmasına yönəlmiş perspektivli yanaşma yalnız daxili normativ tənzimləmələrin dəyişdirilməsi ilə kifayətlənə bilməz; bu, Ümumdünya Ticarət Təşkilatı (WTO), Ümumdünya Gömrük Təşkilatı (WCO) və İqtisadi Əməkdaşlıq və İnkişaf Təşkilatının (OECD) uzun illər ərzində formalaşdırdığı normativ standartlar, ölçmə alətləri və institusional çərçivələrlə sistemli qarşılıqlı əlaqəni tələb edir. Bu üç təşkilat birlikdə sərhəd səmərəliliyi üçün qlobal meyarları müəyyən edir və onların çərçivələri Azərbaycana yalnız diaqnostik alətlər deyil, həm də ölkənin öz ticarət mühitinə uyğunlaşdıraraq tətbiq edə biləcəyi konkret islahat planları təqdim edir.</w:t>
      </w:r>
    </w:p>
    <w:p w14:paraId="57C7821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2017-ci ilin fevral ayında qüvvəyə minmiş WTO-nun Ticarətin Asanlaşdırılması Sazişi (TFA), GATT rejiminin yaradılmasından bəri sərhəd idarəçiliyi islahatları sahəsində ən mühüm çoxtərəfli nailiyyəti təmsil edir [66]. TFA ticarət əməliyyatının bütün həyat dövrünü əhatə edən hüquqi cəhətdən məcburi öhdəlikləri özündə birləşdirir — sərhəd prosedurlarının əvvəlcədən dərc edilməsindən və inzibati qərarlardan şikayət vermək hüququndan başlayaraq, vahid pəncərə sistemlərinin, risk idarəetmə mexanizmlərinin və səlahiyyətli operator proqramlarının yaradılmasına qədər. Xüsusilə vacib məqam ondan ibarətdir ki, TFA elastik icra strukturu qəbul edir və bu struktur inkişaf etməkdə olan və keçid iqtisadiyyatlı ölkələrə müddəaları A kateqoriyası (dərhal icra), B kateqoriyası (keçid müddətindən sonra icra) və C kateqoriyası (texniki yardım tələb edən icra) kimi özləri müəyyən etməyə imkan verir. Bu isə Azərbaycan kimi ölkələrə hərtərəfli transformasiyanı eyni vaxtda həyata keçirməyə çalışmaq əvəzinə, islahatları strateji ardıcıllıqla planlaşdırmaq üçün institusional imkan yaradır.</w:t>
      </w:r>
    </w:p>
    <w:p w14:paraId="1BD7451D"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Texniki yardım tələb edən üzv ölkələr arasında TFA-nın icrası üzrə ən çox istinad edilən beş prioritet aşağıdakılardır: sənədlərin vahid şəkildə təqdim olunması üçün vahid pəncərənin yaradılması (Maddə 10.4), qurumlararası sərhəd əməkdaşlığı (Maddə 8), daha hədəfli nəzarət üçün risk idarəetmə sistemləri (Maddə 7.4), mənfi nəticə əldə edildiyi halda ikinci test imkanının təmin edilməsi (Maddə 5.3) və əlavə üstünlüklərlə səlahiyyətli operator proqramlarının rəsmiləşdirilməsi (Maddə 7.7). Azərbaycan üçün milli gömrük prosedurlarının TFA öhdəliklərinə uyğunlaşdırılması ikili fayda yaradır: bir tərəfdən, Azərbaycan sərhədlərində fəaliyyət göstərən ticarət tərəfdaşlarının uyğunluq xərclərini azaldır, digər tərəfdən isə logistika investisiyalarını və təchizat zəncirlərinə inteqrasiyanı təşviq edən normativ proqnozlaşdırıla bilmə siqnalı formalaşdırır [68]. Azərbaycan TFA-nın tam icrasını B və C kateqoriyalı müddəaları qeyri-müəyyən təxirəsalmalar kimi deyil, məcburi daxili zaman qrafiki ilə mərhələli fəaliyyət istiqamətləri kimi qəbul etməklə sürətləndirməlidir. Azərbaycanın tutduğu İpək Yolu tranzit dəhlizi mövqeyi — Mərkəzi Asiyanı Avropa və Qara dəniz regionu ilə birləşdirən xətt — o deməkdir ki, sərhəddə gecikmələr yalnız ikitərəfli ticarət xərci deyil, həm də Azərbaycan ərazisindən keçən regional təchizat zəncirləri üçün sistemli maneədir. Sərhəd rəsmiləşdirilməsi müddətlərinin və proseslərin proqnozlaşdırıla bilməsinin yaxşılaşdırılması Azərbaycanın tranzit qovşağı kimi rəqabət mövqeyini birbaşa gücləndirir; bu strateji aktivin dəyəri sərhəd prosedurlarının etibarlılığı və səmərəliliyi ilə birbaşa mütənasibdir [66].</w:t>
      </w:r>
    </w:p>
    <w:p w14:paraId="2C833451"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WCO-nun “Qlobal ticarətin təhlükəsizliyinin təmin edilməsi və asanlaşdırılması üzrə Standartlar Çərçivəsi” (SAFE Framework), ilk dəfə 2005-ci ildə qəbul edilmiş və 2021-ci ildə əhəmiyyətli dərəcədə yenilənmişdir, müasir koordinasiyalı sərhəd idarəçiliyinin konseptual arxitekturasını müəyyən edir. SAFE Çərçivəsi üç əməkdaşlıq sütununa əsaslanır: Gömrük–Gömrük əməkdaşlığı, Səlahiyyətli İqtisadi Operator (AEO) proqramı vasitəsilə Gömrük–Biznes əməkdaşlığı və Gömrük–Digər Dövlət Orqanları koordinasiyası. 2021-ci il yenilənməsi çərçivənin real vaxt rejimində yük monitorinqi, hava yükləri üçün yükləmədən əvvəl məlumatların təqdim edilməsi və AEO üzrə regional qarşılıqlı tanınma razılaşmalarının inkişaf etdirilməsi kimi müddəalarını daha da dərinləşdirmişdir; bütün bunlar Azərbaycanın ticarət infrastrukturunun prioritetləri baxımından olduqca актуaldır.</w:t>
      </w:r>
    </w:p>
    <w:p w14:paraId="407AC58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AEO proqramı Azərbaycanın islahat gündəliyi üçün xüsusi əhəmiyyət daşıyır. AEO statusu dərc edilmiş maliyyə dayanıqlığı, uyğunluq tarixi və təchizat zəncirinin təhlükəsizliyi standartlarına cavab verən əvvəlcədən yoxlanılmış ticarət subyektlərinə sürətləndirilmiş rəsmiləşdirmə, daha aşağı yoxlama dərəcələri və sərhəddə prioritet xidmət kimi üstünlüklər verir. Azərbaycan öz səlahiyyətli iqtisadi operator rejimini tətbiq etmişdir, lakin proqramın əhatə dairəsi və beynəlxalq qarşılıqlı tanınması hələ də məhduddur. WCO tövsiyə edir ki, AEO proqramları şəffaf və ardıcıl şəkildə tətbiq olunan uyğunluq meyarlarına, müntəzəm yenidən qiymətləndirmə prosedurlarına və — ən əsası — AEO sertifikatlı ticarət subyektlərinin tərəfdaş ölkələrin sərhədlərində ekvivalent üstünlüklər əldə etməsinə imkan verən ikitərəfli və ya regional qarşılıqlı tanınma sazişlərinə əsaslansın. Azərbaycanın AEO proqramının əhatə dairəsinin və beynəlxalq tanınmasının genişləndirilməsi uyğunluğa riayət edən ticarət subyektləri üçün rəsmiləşdirmə müddətlərini əhəmiyyətli dərəcədə azaldar, eyni zamanda yoxlama resurslarının daha yüksək riskli yüklərə yönəldilməsini təmin edər; bununla da həm təhlükəsizlik nəticələri, həm də ticarətin asanlaşdırılması eyni vaxtda yaxşılaşar. SAFE Çərçivəsinin Koordinasiyalı Sərhəd İdarəçiliyi müddəaları əlavə olaraq vurğulayır ki, sərhəd səmərəliliyi gömrük orqanlarının təcrid olunmuş şəkildə fəaliyyəti ilə təmin edilə bilməz — rəsmiləşdirmə müddətlərinin mənalı şəkildə azaldılması üçün bütün sərhəd nəzarəti orqanlarının, o cümlədən baytarlıq, fitosanitar, qida təhlükəsizliyi və standartlaşdırma üzrə yoxlama qurumlarının uyğunlaşdırılması və mümkün olduqda bir məkanda yerləşdirilməsi tələb olunur. Azərbaycanın sərhəd-keçid məntəqələri, xüsusilə əsas avtomobil keçidlərində və Bakı Beynəlxalq Dəniz Ticarət Limanında, bu qurumların ayrı-ayrı və ardıcıl yoxlamalar aparması əvəzinə, risk profilinə əsaslanan koordinasiyalı vahid sərhəd idarəetmə modelinə struktur inteqrasiyasından ciddi şəkildə faydalana bilər [65].</w:t>
      </w:r>
    </w:p>
    <w:p w14:paraId="40F92F3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2013-cü ildə istifadəyə verilmiş və hər iki ildən bir yenilənən OECD Ticarətin Asanlaşdırılması Göstəriciləri (TFIs), ölkənin sərhəd prosedurları mühitinin qiymətləndirilməsi üçün mövcud olan ən detallı beynəlxalq diaqnostik alətdir. TFIs on bir ölçünü əhatə edir: məlumatın əlçatanlığı, ticarət ictimaiyyətinin iştirakı, qabaqcadan qərarlar, şikayət prosedurları, rüsum və ödənişlər, sənədlərlə bağlı formallıqlar, avtomatlaşdırma ilə bağlı formallıqlar, prosedurlarla bağlı formallıqlar, daxili sərhəd qurumları arasında əməkdaşlıq, xarici sərhəd qurumları ilə əməkdaşlıq və konsul leqallaşdırılması. Hər bir ölçü sıfırdan ikiyə qədər şkala üzrə qiymətləndirilir ki, bu da ölkələrə güclü və zəif tərəflərin bölgüsünü gizlədən vahid məcmu göstərici almaq əvəzinə, sərhəd prosedurlarının beynəlxalq ən yaxşı təcrübə ilə müqayisədə dəqiq olaraq hansı sahələrdə geri qaldığını müəyyən etməyə imkan verir.</w:t>
      </w:r>
    </w:p>
    <w:p w14:paraId="329593B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OECD-nin ən son məlumatları göstərir ki, </w:t>
      </w:r>
      <m:oMath>
        <m:r>
          <w:rPr>
            <w:rFonts w:ascii="Cambria Math" w:hAnsi="Cambria Math" w:cs="Times New Roman"/>
            <w:sz w:val="28"/>
            <w:szCs w:val="28"/>
            <w:lang w:val="tr-TR"/>
          </w:rPr>
          <m:t>2022</m:t>
        </m:r>
      </m:oMath>
      <w:r>
        <w:rPr>
          <w:rFonts w:ascii="Times New Roman" w:hAnsi="Times New Roman" w:cs="Times New Roman"/>
          <w:sz w:val="28"/>
          <w:szCs w:val="28"/>
          <w:lang w:val="tr-TR"/>
        </w:rPr>
        <w:t>–</w:t>
      </w:r>
      <m:oMath>
        <m:r>
          <w:rPr>
            <w:rFonts w:ascii="Cambria Math" w:hAnsi="Cambria Math" w:cs="Times New Roman"/>
            <w:sz w:val="28"/>
            <w:szCs w:val="28"/>
            <w:lang w:val="tr-TR"/>
          </w:rPr>
          <m:t>2024</m:t>
        </m:r>
      </m:oMath>
      <w:r>
        <w:rPr>
          <w:rFonts w:ascii="Times New Roman" w:hAnsi="Times New Roman" w:cs="Times New Roman"/>
          <w:sz w:val="28"/>
          <w:szCs w:val="28"/>
          <w:lang w:val="tr-TR"/>
        </w:rPr>
        <w:t> illəri arasında bütün monitorinq olunan regionlarda sərhəd maneələri və bürokratik əngəllər orta hesabla </w:t>
      </w:r>
      <m:oMath>
        <m:r>
          <w:rPr>
            <w:rFonts w:ascii="Cambria Math" w:hAnsi="Cambria Math" w:cs="Times New Roman"/>
            <w:sz w:val="28"/>
            <w:szCs w:val="28"/>
            <w:lang w:val="tr-TR"/>
          </w:rPr>
          <m:t>3</m:t>
        </m:r>
      </m:oMath>
      <w:r>
        <w:rPr>
          <w:rFonts w:ascii="Times New Roman" w:hAnsi="Times New Roman" w:cs="Times New Roman"/>
          <w:sz w:val="28"/>
          <w:szCs w:val="28"/>
          <w:lang w:val="tr-TR"/>
        </w:rPr>
        <w:t>–</w:t>
      </w:r>
      <m:oMath>
        <m:r>
          <w:rPr>
            <w:rFonts w:ascii="Cambria Math" w:hAnsi="Cambria Math" w:cs="Times New Roman"/>
            <w:sz w:val="28"/>
            <w:szCs w:val="28"/>
            <w:lang w:val="tr-TR"/>
          </w:rPr>
          <m:t>7</m:t>
        </m:r>
      </m:oMath>
      <w:r>
        <w:rPr>
          <w:rFonts w:ascii="Times New Roman" w:hAnsi="Times New Roman" w:cs="Times New Roman"/>
          <w:sz w:val="28"/>
          <w:szCs w:val="28"/>
          <w:lang w:val="tr-TR"/>
        </w:rPr>
        <w:t> faiz azalmış, Avropa və Mərkəzi Asiya regionunda isə </w:t>
      </w:r>
      <m:oMath>
        <m:r>
          <w:rPr>
            <w:rFonts w:ascii="Cambria Math" w:hAnsi="Cambria Math" w:cs="Times New Roman"/>
            <w:sz w:val="28"/>
            <w:szCs w:val="28"/>
            <w:lang w:val="tr-TR"/>
          </w:rPr>
          <m:t>3.1</m:t>
        </m:r>
      </m:oMath>
      <w:r>
        <w:rPr>
          <w:rFonts w:ascii="Times New Roman" w:hAnsi="Times New Roman" w:cs="Times New Roman"/>
          <w:sz w:val="28"/>
          <w:szCs w:val="28"/>
          <w:lang w:val="tr-TR"/>
        </w:rPr>
        <w:t> faiz yaxşılaşma qeydə alınmışdır [57]. Daxili və sərhədlərarası qurumlararası əməkdaşlıq həm hazırkı irəliləyişin aparıcı istiqaməti, həm də hələ də ən böyük təkmilləşdirmə potensialına malik ölçü kimi müəyyən edilmişdir. Azərbaycan üçün OECD TFI çərçivəsi iki fərqli istifadə imkanına malikdir. Diaqnostik səviyyədə bu çərçivə ticarət subyektləri üçün ən böyük vaxt və xərc yükünü yaradan konkret prosedur kateqoriyalarını müəyyən edir və bu məlumat islahat prioritetlərinin ardıcıllığının müəyyənləşdirilməsinə xidmət etməlidir. Siyasət kommunikasiyası səviyyəsində isə TFI göstəricilərində nümayiş etdirilə bilən yaxşılaşmalar xarici investorlar və ticarət tərəfdaşları üçün normativ mühitin beynəlxalq normalara uyğun istiqamətdə inkişaf etdiyini göstərən müşahidə edilə bilən siqnallar yaradır. Azərbaycanın gömrük administrasiyasına və ticarətin asanlaşdırılması üzrə qurumlarına hər iki ildən bir TFI-yə uyğun tam özünüqiymətləndirmə aparmaq və nəticələri Gürcüstan, Türkiyə və Qazaxıstan kimi müqayisə edilə bilən regional iqtisadiyyatlarla müqayisə etmək tövsiyə olunur. Belə qiymətləndirmələr hədəfli texniki yardım sorğuları üçün faktoloji əsas yaradacaq və sərhəd prosedurlarının islahatı üzrə büdcə prioritetlərinin qurumlararası səviyyədə müəyyən edilməsini məlumatlandıracaqdır (OECD, 2025).</w:t>
      </w:r>
    </w:p>
    <w:p w14:paraId="2F50D6E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WTO, WCO və OECD-nin normativ çərçivələri bir-birindən ayrı tövsiyələr deyil — onlar arxitektur baxımdan uyğun və qarşılıqlı şəkildə bir-birini gücləndirən sistemlərdir. WTO-nun TFA-sı hüquqi öhdəliyi və kateqoriyalar üzrə icra qrafikini müəyyən edir. WCO-nun SAFE Çərçivəsi təhlükəsiz və koordinasiyalı sərhəd idarəçiliyi üçün əməliyyat arxitekturasını təqdim edir. OECD-nin TFI-ləri isə hökumətlərə irəliləyişi qiymətləndirməyə və islahat resurslarını dəqiq istiqamətləndirməyə imkan verən ölçmə və müqayisə alətlərini təmin edir. Birlikdə götürüldükdə, bu üç çərçivə Azərbaycana orijinal dizayndan çox uyğunlaşdırma tələb edən hazır islahat arxitekturası təqdim edir.</w:t>
      </w:r>
    </w:p>
    <w:p w14:paraId="4B514CAF"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sərhəd səmərəliliyinin yaxşılaşdırılması istiqamətində yanaşması bu beynəlxalq standartlara əsaslanan bir neçə konkret islahat istiqamətini prioritetləşdirməlidir. Tam inteqrasiya olunmuş vahid pəncərənin əməliyyatlaşdırılması — yəni yalnız gömrük bəyannamələrini deyil, sərhəddə tələb olunan bütün icazələri, sertifikatları və normativ təsdiqləri əhatə edən sistemin qurulması — WTO TFA çərçivəsində mövcud olan ən yüksək təsir gücünə malik struktur islahatıdır. Vahid pəncərə ticarət subyektlərinin eyni məlumatı ayrı-ayrı qurumlara dəfələrlə təqdim etməsi zərurətini aradan qaldırmaqla uyğunluq xərclərini azaldır və onun tətbiqi Azərbaycanı TFA-nın mərkəzi asanlaşdırma aləti kimi müəyyən etdiyi Maddə 10.4 ilə uyğunlaşdırır. Gürcüstan və Türkiyə də daxil olmaqla yetkin vahid pəncərə sistemlərini tətbiq etmiş ölkələr, tətbiqdən əvvəlki baza səviyyələri ilə müqayisədə rəsmiləşdirmə müddətlərində </w:t>
      </w:r>
      <m:oMath>
        <m:r>
          <w:rPr>
            <w:rFonts w:ascii="Cambria Math" w:hAnsi="Cambria Math" w:cs="Times New Roman"/>
            <w:sz w:val="28"/>
            <w:szCs w:val="28"/>
            <w:lang w:val="tr-TR"/>
          </w:rPr>
          <m:t>30</m:t>
        </m:r>
      </m:oMath>
      <w:r>
        <w:rPr>
          <w:rFonts w:ascii="Times New Roman" w:hAnsi="Times New Roman" w:cs="Times New Roman"/>
          <w:sz w:val="28"/>
          <w:szCs w:val="28"/>
          <w:lang w:val="tr-TR"/>
        </w:rPr>
        <w:t>–</w:t>
      </w:r>
      <m:oMath>
        <m:r>
          <w:rPr>
            <w:rFonts w:ascii="Cambria Math" w:hAnsi="Cambria Math" w:cs="Times New Roman"/>
            <w:sz w:val="28"/>
            <w:szCs w:val="28"/>
            <w:lang w:val="tr-TR"/>
          </w:rPr>
          <m:t>50</m:t>
        </m:r>
      </m:oMath>
      <w:r>
        <w:rPr>
          <w:rFonts w:ascii="Times New Roman" w:hAnsi="Times New Roman" w:cs="Times New Roman"/>
          <w:sz w:val="28"/>
          <w:szCs w:val="28"/>
          <w:lang w:val="tr-TR"/>
        </w:rPr>
        <w:t> faiz azalma qeydə aldıqlarını bildirirlər [60]. Azərbaycanın vahid pəncərə infrastrukturu qurumların inteqrasiyası, məcburi iştirakın əhatə dairəsi və mənşə sertifikatları ilə fitosanitar sənəd dövriyyəsinin rəqəmsallaşdırılması baxımından genişləndirilməlidir.</w:t>
      </w:r>
    </w:p>
    <w:p w14:paraId="08F7BD94"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Risk idarəetmə sisteminin gücləndirilməsi ikinci prioritet islahat sahəsidir. Həm WTO TFA, həm də WCO SAFE Çərçivəsi çərçivəsində effektiv risk idarəetməsi sərhəd qurumlarının uyğunluğa riayət edən ticarət subyektləri üzrə yoxlama yükünü azaltmasına və eyni zamanda icra resurslarını real yüksək riskli yüklərə yönəltməsinə imkan verən mexanizm kimi təqdim olunur. Səmərəli risk idarəetmə sistemi məlumat analitikasından istifadə edərək — ticarət subyektlərinin uyğunluq tarixçəsi, mənşə ölkəsi profilləri, mal qrupları üzrə risk təsnifatları və kəşfiyyat məlumatlarına əsaslanmaqla — bəyannamələrə avtomatik risk xalları təyin edir və buna uyğun yoxlama reaksiyasını kalibrləşdirir. Azərbaycanın gömrük administrasiyası risk profilləşdirilməsi potensialı formalaşdırmışdır, lakin AEO verilənlər bazası, post-rəsmiləşdirmə audit nəticələri və WCO tərəfdaş gömrük administrasiyalarından alınan kəşfiyyat məlumatları üzrə inteqrasiyanın genişləndirilməsi sistemin seçicilik qabiliyyətini əhəmiyyətli dərəcədə artırar. Post-rəsmiləşdirmə audit potensialının gücləndirilməsi də tamamlayıcı risk idarəetmə aləti kimi diqqət tələb edir, çünki bu, fiziki yüklərin uzunmüddətli ön-rəsmiləşdirmə yoxlamaları ilə gecikdirilməsi əvəzinə, uyğunluğun sonradan yoxlanılmasına imkan verir.</w:t>
      </w:r>
    </w:p>
    <w:p w14:paraId="23308EBD"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Şəffaflıq və qabaqcadan məlumatlandırma mexanizmləri üçüncü prioritet islahat istiqamətini təşkil edir. WTO TFA-nın </w:t>
      </w:r>
      <m:oMath>
        <m:r>
          <w:rPr>
            <w:rFonts w:ascii="Cambria Math" w:hAnsi="Cambria Math" w:cs="Times New Roman"/>
            <w:sz w:val="28"/>
            <w:szCs w:val="28"/>
            <w:lang w:val="tr-TR"/>
          </w:rPr>
          <m:t>1</m:t>
        </m:r>
      </m:oMath>
      <w:r>
        <w:rPr>
          <w:rFonts w:ascii="Times New Roman" w:hAnsi="Times New Roman" w:cs="Times New Roman"/>
          <w:sz w:val="28"/>
          <w:szCs w:val="28"/>
          <w:lang w:val="tr-TR"/>
        </w:rPr>
        <w:t>-dən </w:t>
      </w:r>
      <m:oMath>
        <m:r>
          <w:rPr>
            <w:rFonts w:ascii="Cambria Math" w:hAnsi="Cambria Math" w:cs="Times New Roman"/>
            <w:sz w:val="28"/>
            <w:szCs w:val="28"/>
            <w:lang w:val="tr-TR"/>
          </w:rPr>
          <m:t>3</m:t>
        </m:r>
      </m:oMath>
      <w:r>
        <w:rPr>
          <w:rFonts w:ascii="Times New Roman" w:hAnsi="Times New Roman" w:cs="Times New Roman"/>
          <w:sz w:val="28"/>
          <w:szCs w:val="28"/>
          <w:lang w:val="tr-TR"/>
        </w:rPr>
        <w:t>-ə qədər olan maddələri üzv dövlətlərdən bütün gömrük qaydalarını, rüsumları və prosedur tələblərini asan əlçatan formatda dərc etməyi, həmçinin ticarət subyektinin müraciəti əsasında tarif təsnifatı, mənşə və dəyər üzrə qabaqcadan qərarlar təqdim etməyi tələb edir. OECD-nin məlumatın əlçatanlığı və qabaqcadan qərarlar ölçüləri keçid iqtisadiyyatları üçün davamlı olaraq aşağı nəticə göstərən indikatorlar sırasında yer alır. Azərbaycanın gömrük portalı normativ məlumatlar təqdim edir, lakin qabaqcadan qərar cavablarının operativliyi və əlçatanlığı, rüsum və ödənişlərin tam şəkildə dərc olunması, eləcə də formal şikayət prosedurlarının elektron şəkildə əlçatan formatlarda təqdim edilməsi TFA-nın </w:t>
      </w:r>
      <m:oMath>
        <m:r>
          <w:rPr>
            <w:rFonts w:ascii="Cambria Math" w:hAnsi="Cambria Math" w:cs="Times New Roman"/>
            <w:sz w:val="28"/>
            <w:szCs w:val="28"/>
            <w:lang w:val="tr-TR"/>
          </w:rPr>
          <m:t>2</m:t>
        </m:r>
      </m:oMath>
      <w:r>
        <w:rPr>
          <w:rFonts w:ascii="Times New Roman" w:hAnsi="Times New Roman" w:cs="Times New Roman"/>
          <w:sz w:val="28"/>
          <w:szCs w:val="28"/>
          <w:lang w:val="tr-TR"/>
        </w:rPr>
        <w:t> və </w:t>
      </w:r>
      <m:oMath>
        <m:r>
          <w:rPr>
            <w:rFonts w:ascii="Cambria Math" w:hAnsi="Cambria Math" w:cs="Times New Roman"/>
            <w:sz w:val="28"/>
            <w:szCs w:val="28"/>
            <w:lang w:val="tr-TR"/>
          </w:rPr>
          <m:t>4</m:t>
        </m:r>
      </m:oMath>
      <w:r>
        <w:rPr>
          <w:rFonts w:ascii="Times New Roman" w:hAnsi="Times New Roman" w:cs="Times New Roman"/>
          <w:sz w:val="28"/>
          <w:szCs w:val="28"/>
          <w:lang w:val="tr-TR"/>
        </w:rPr>
        <w:t>-cü maddələrinə uyğun hədəfli təkmilləşdirmələrin Azərbaycan sərhədlərində fəaliyyət göstərən ticarət subyektləri və logistika xidmət təminatçıları üçün normativ qeyri-müəyyənliyi əhəmiyyətli dərəcədə azalda biləcəyi sahələrdir [68].</w:t>
      </w:r>
    </w:p>
    <w:p w14:paraId="18E0B670" w14:textId="77777777" w:rsidR="001F6AF2" w:rsidRDefault="001F6AF2">
      <w:pPr>
        <w:spacing w:after="0" w:line="360" w:lineRule="auto"/>
        <w:ind w:firstLine="709"/>
        <w:jc w:val="both"/>
        <w:rPr>
          <w:rFonts w:ascii="Times New Roman" w:hAnsi="Times New Roman" w:cs="Times New Roman"/>
          <w:sz w:val="28"/>
          <w:szCs w:val="28"/>
          <w:lang w:val="tr-TR"/>
        </w:rPr>
      </w:pPr>
    </w:p>
    <w:p w14:paraId="7FC3AEFD"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lang w:val="az-Latn-AZ"/>
        </w:rPr>
        <w:t xml:space="preserve">3.2. İnkişaf etmiş ölkələrdə sərhəddə ticarətin səmərəlilik </w:t>
      </w:r>
      <w:proofErr w:type="spellStart"/>
      <w:r>
        <w:rPr>
          <w:rFonts w:ascii="Times New Roman" w:hAnsi="Times New Roman" w:cs="Times New Roman"/>
          <w:b/>
          <w:bCs/>
          <w:color w:val="auto"/>
          <w:sz w:val="28"/>
          <w:szCs w:val="28"/>
          <w:lang w:val="az-Latn-AZ"/>
        </w:rPr>
        <w:t>göstəricilərinin</w:t>
      </w:r>
      <w:proofErr w:type="spellEnd"/>
      <w:r>
        <w:rPr>
          <w:rFonts w:ascii="Times New Roman" w:hAnsi="Times New Roman" w:cs="Times New Roman"/>
          <w:b/>
          <w:bCs/>
          <w:color w:val="auto"/>
          <w:sz w:val="28"/>
          <w:szCs w:val="28"/>
          <w:lang w:val="az-Latn-AZ"/>
        </w:rPr>
        <w:t xml:space="preserve"> idarə edilməsi təcrübəsi</w:t>
      </w:r>
    </w:p>
    <w:p w14:paraId="111D2AF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İnkişaf etmiş ölkələrin sərhəd idarəetmə sistemlərinin öyrənilməsi, Azərbaycan üçün konkret islahat istiqamətlərini müəyyənləşdirmək baxımından metodoloji bir əhəmiyyət daşıyır. Həmin ölkələrin əldə etdiyi nəticələr heç bir halda təsadüf məhsulu deyil — bunlar onillik ərzindəki sistemli institusional transformasiyanın, texnoloji investisiyanın, çoxsaylı tənzimləyici qurum arasındakı əməkdaşlığın birlikdə yaratdığı nəticələrdir. Sinqapur, Avropa İttifaqı ölkələri və Niderlandın Rotterdam limanı bu baxımdan ən çox tədqiq edilən nümunələrdir. Həmin örnəklər arasındakı ortaq xüsusiyyətlər — rəqəmsal inteqrasiya, riskə əsaslanan nəzarət, tənzimləyici qurumların həmin prosesdə əlaqələndirilməsi — Azərbaycanın öz islahat strategiyasına inteqrasiya edə biləcəyi praktik dərslərin açarıdır.</w:t>
      </w:r>
    </w:p>
    <w:p w14:paraId="2706977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Sinqapur dünya ticarətinin ən çevik və ən şəffaf keçid nöqtəsi kimi tanınır. Bu nüfuzu yaradan amillərin başında 1989-cu ildə istismara verilmiş TradeNet sistemi dayanır. TradeNet dünyada mövcud olan ilk milli tək pəncərə sistemidir — otuzdan çox tənzimləyici orqanın bir portal vasitəsilə əlaqələndirildiyi, idxal-ixrac icazə ərizələrinin 10 dəqiqə ərzində cavablandırıldığı, bütün əməliyyatların kağızsız formatda həyata keçirildiyi bir infrastruktur. Gün ərzindəki 30 000-dən çox bəyannaməni emal edən sistem, müraciətlərin 99 faizini 10 dəqiqədən az müddətdə nəticələndirir [64]. TradeNet-in uğuru yalnız texnoloji altyapının güclülüyündən deyil, həm də hüquqi çərçivənin aydınlığından, müvafiq qurumlararası prosedur uyğunlaşmasından və ticarət icmasının sistemi qəbulunda göstərdiyi nəzarətli tədricdən qaynaqlanır.</w:t>
      </w:r>
    </w:p>
    <w:p w14:paraId="42ED26C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Sinqapur Gömrük İdarəsi TradeNet-i sonradan daha genişmiqyaslı Networked Trade Platform (NTP) infrastrukturuna inteqrasiya etdi. NTP yalnız bəyannamə prosesini deyil, sığorta, maliyyələşdirmə, ekspeditor xidmətləri, liman əməliyyatları kimi kommersiya funksiyalarını da əhatə edən bütöv bir rəqəmsal ticarət ekosistemi kimi formalaşdırılmışdır. Həmin platforma vasitəsilə dövlət məlumatları xidmət kimi (Government Data-as-a-Service) ticarət icmasına çatdırılır — gömrük statistikası, tarif məlumatları, əvvəlki izin qeydləri standartlaşdırılmış API formatında əlçatan olur. Azərbaycan üçün Sinqapur modelinin ən tətbiq edilə bilən hissəsi tək pəncərənin sıfırdan başlamağa ehtiyac olmadan mərhələli genişlənmə prinsipi üzərindəki arxitekturasıdır: mövcud gömrük bəyannamə sistemi genişlədilərək fitosanitar, baytarlıq, ərzaq təhlükəsizliyi, standartlaşdırma sertifikatı kimi müxtəlif tənzimləyici orqanların cavab proseslərini vahid platforma üzərindən idarə edən bir inteqrasiya qatı formalaşdırıla bilər [62].</w:t>
      </w:r>
    </w:p>
    <w:p w14:paraId="1EF5F19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Sinqapurun ticarət asanlaşdırması tədbirlərinin ümumi performansa töhfəsini qiymətləndirən OECD tədqiqatında müəyyən edilmişdir ki, sənəd prosedurlarının avtomatlaşdırılması sahəsindəki ikitərəfli performansın 10 faiz yaxşılaşdırılması qlobal mal ixracını 18 faizə kimi artıra bilər [58]. Həmin rəqəm tək pəncərə infrastrukturu islahatının potensial iqtisadi gəlirini yalnız tranzaksiya xərclərinin azaldılması üzərindən deyil, ixrac həcminin struktur artımı üzərindən də qiymətləndirilməsi zərurətini göstərir.</w:t>
      </w:r>
    </w:p>
    <w:p w14:paraId="5C412DE0"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Avropa İttifaqı 2022-ci ilin oktyabrında Gömrük üzrə Tək Pəncərə Mühitini (EU Single Window Environment for Customs, EU SWE-C) müəyyənləşdirən hüquqi çərçivəni qəbul etdi. Həmin çərçivə onillik müddətdə pilotdan tam tətbiqə keçişi nəzərdə tutur — ilk faza 2025-ci ilə kimi sağlamlıq, ərzaq təhlükəsizliyi, ətraf mühit, kənd təsərrüfatı sahələrindəki icazə sistemlərinin gömrük bəyannamə sistemi ilə avtomatik məlumat mübadiləsini əhatə edir [55]. EU CSW-CERTEX sistemi aracılığı ilə gömrük orqanı tərəf qurumların verdikləri sertifikatların autentikliyini real vaxtda yoxlaya bilir — iqtisadi operator eyni məlumatı həm gömrükə, həm müvafiq nəzarət orqanına ayrıca təqdim etmək əvəzinə vahid millimiqyaslı portal vasitəsilə bütün öhdəliklərini yerinə yetirir.</w:t>
      </w:r>
    </w:p>
    <w:p w14:paraId="4B89E14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Avropa modelinin Azərbaycan üçün əhəmiyyəti ikiqatdır. Hüquqi çərçivənin qəbulu texnoloji həllin özündən əvvəl gəldiyindən — yəni hüquqi arqumentasiya, qurumlararası səlahiyyət bölgüsü, məlumat mübadiləsi standartları texniki infrastruktur inşasından əvvəl qurulduğundan — bu yanaşma institusional sabitlik baxımından daha davamlı bir islahat arxitekturası yaradır. Azərbaycan üçün tövsiyə olunan islahat ardıcıllığı da eyni məntiqi izləməlidir: texnoloji platforma genişləndirilməsindən əvvəl tənzimləyici orqanlar arasındakı məlumat mübadiləsinin hüquqi çərçivəsi, cavabdehliklər, məlumat mülkiyyəti qaydaları aydınlaşdırılmalı, müvafiq normativ aktlar qəbul edilməlidir. Həmin institusional zəmin olmadan texnoloji inteqrasiya qurumlararası texniki üst-üstə düşüşlərə, datanın müxtəlif sistemlərdə paralel tutulmasına, mütəmadi qurum münaqişələrinə gətirib çıxarır [54].</w:t>
      </w:r>
    </w:p>
    <w:p w14:paraId="0394917A"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Rotterdam limanı Avropanın ən böyük, dünyanın isə ən sürətli gömrük klirens müddəti olan limanları arasındadır. Həmin performansın arxasında riskə əsaslanan nəzarət sisteminin yüksək texniki inkişaf səviyyəsi, dənizçilik agentliyinin liman rəhbərliyi ilə sistemli inteqrasiyası, Portbase rəqəmsal platformasının yük həcminin 98 faizini əhatə etməsi dayanır. Portbase sistemini qeyd etmək vacibdir: həmin platforma bütün liman maraqlı tərəflərini — gəmi agentlərini, ekspeditorları, terminalları, gömrük brokerlərini, nəzarət orqanlarını — vahid rəqəmsal ekosistem daxilində əlaqələndirir. Yük liman infrastrukturundan keçən bütün zəncir boyunca hər bir tərəfin ərizəsi, sənədi, nəzarət qeydləri vahid platforma vasitəsilə idarə olunur.</w:t>
      </w:r>
    </w:p>
    <w:p w14:paraId="759DB4A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Rotterdam modelinin ixrac edilə bilən ən mühüm elementi koordinasiyalı sərhəd idarəetməsidir: bütün nəzarət orqanları yükün eyni fiziki nöqtəyə gəldiyi zaman ardıcıl yox, eyni anda fəaliyyət göstərir. Azərbaycanda xüsusilə Bakı Beynəlxalq Dəniz Ticarət Limanında ardıcıl inspeksiya rejiminin hâlâ davam etməsi — gömrük yoxlamasının müsbət nəticəsindən sonra fitosanitar nəzarətin, ardından baytarlıq nəzarətinin, ardından standartlaşdırma orqanının proseduru başlaması — toplam klirens müddətini struktur baxımından uzadır. Bu ardıcıllığı paralel koordinasiyaya çevirmək üçün texnoloji inteqrasiyadan əvvəl çoxsaylı tənzimləyici orqan üçün vahid risk profili sisteminin qurulması gərəkdir: eyni yük üzərindəki risk qiymətləndirməsi hər orqan tərəfindən müstəqil deyil, konsolidasiya edilmiş bir risk profili əsasında aparılmalıdır [62].</w:t>
      </w:r>
    </w:p>
    <w:p w14:paraId="3E27975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İnkişaf etmiş ölkələrin sərhəd idarəetmə sistemlərinin arasındakı metodoloji ortaqlıq riskə əsaslanan yoxlama çərçivəsinin tutarlı şəkildə tətbiqidir. Sinqapurda yük bəyannaməsinin yoxlanma nisbəti bir faizin altında qalır. Niderlandda gömrük risk profili sistemi idxal həcminin yalnız seçilmiş bir hissəsini fiziki inspeksiyaya yönləndirir. Almaniyada Alman Mərkəzi Gömrük İdarəsi arenasında riskə uyğun seçim prosesi avtomatik bəyannamə emalının 99 faizindən çoxunu insan müdaxiləsi olmadan nəticələndirir. Bu rəqəmlər heç vaxt zəif nəzarəti ifadə etmir — məhz əksinə, güclü risk analizinin aşkar etdiyi yüksək risk yüklərini intensiv nəzarətə yönləndirməsinin mümkün olduğunu, aşağı risk profilli həcmin isə sürətləndirilmiş klirensə keçirilməsinin həm ticari, həm nəzarət məntiqi ilə uyğun olduğunu göstərir.</w:t>
      </w:r>
    </w:p>
    <w:p w14:paraId="0FE60BC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risk idarəetmə sisteminin indiki vəziyyəti beynəlxalq müqayisəli kontekstdə orta inkişaf mərhələsinə uyğun gəlir. Gömrük Məcəlləsinin müvafiq müddəaları riskə əsaslanan seçim prinsipini hüquqi əsas kimi möhkəmləndirmişdir. Lakin praktiki performansda kritik zəiflik məlumat inteqrasiyasındadır: ticarətçinin keçmiş uyğunluq tarixi, sonrakı gömrükdənkənar yoxlamaların nəticəsi, tərəfdaş ölkələrin gömrük kəşfiyyat məlumatları, mal mənşəyi məlumat bazaları hazırda bir-birindən texniki baxımdan ayrılmış sistemlərdə saxlanılır. Bu məlumat adalarını vahid risk analitikası arxitekturasına qoşmaq risk profilinin dəqiqliyini kəskin şəkildə yüksəldəcəkdir. OECD-nin ticarət asanlaşdırması göstəriciləri 2022–2024-cü illər üzrə yenilənmiş hesabatında müəyyənləşdirilmişdir ki, qurumlar arasında həm daxili, həm xarici əməkdaşlıq hər iki istiqamətdə ən çox irəliləyiş qeydə alınan sahədir, eyni zamanda ən böyük artım potensialı qalan sahədir [58].</w:t>
      </w:r>
    </w:p>
    <w:p w14:paraId="075E67A0"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İnkişaf etmiş ölkələrin əldə etdiyi nəticələrin Azərbaycan kontekstinə uyğunlaşdırılması yolun tam uzunluğunu bir anda keçmə iddias taşımadan, strategik prioritetlər silsiləsi şəklində qurulmalıdır. TradeNet-in Sinqapur nümunəsinə əsasən, Azərbaycanın tək pəncərə sisteminin genişləndirilməsi üçün müntəzəm yerinə yetirilməsi tələb olunan fitosanitar, baytarlıq, ərzaq təhlükəsizliyi sertifikatları mərhələ bir kimi platformaya inteqrasiya edilməlidir. Birinci mərhələnin institusional əməliyyat sabitliyini sübut etdikdən sonra standartlaşdırma orqanının müraciəti, mənşə sertifikatı prosedurları, yük sigorta sənədlərinin elektron formatda platforma üzərindən emalı ikinci mərhələ çərçivəsini formalaşdırmalıdır.</w:t>
      </w:r>
    </w:p>
    <w:p w14:paraId="4BBA1D8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Avropa İttifaqının hüquqi-əvvəl yanaşmasına uyğun olaraq, bu mərhələli texniki genişlənmənin hər addımı müvafiq normativ sənədin qəbulundan sonra icra edilməlidir. Texnoloji inteqrasiyanı hüquqi çərçivədən öncə həyata keçirmək Azərbaycanda institusional münaqişə risklərini artıracaqdır. Rotterdam modelinə paralel nəzarət arxitekturasının tətbiqi isə Bakı limanı və Əlat Azad İqtisadi Zonası kimi kritik infrastruktur nöqtələrindən başlamalı, burada koordinasiyalı nəzarətin fiziki prosedur düzümü mərhələ-mərhələ müəyyənləşdirilməlidir. Ən əsas strateji istiqamət isə risk analitikasının ayrı sistemlərini bir-birindən texniki baxımdan qoparılmış halda saxlamamaqdır — vahid risk arxitekturası xərcin azaldılmasının yox, nəzarətin adekvatlığının yüksəldilməsinin aləti kimi qurulmalıdır [61].</w:t>
      </w:r>
    </w:p>
    <w:p w14:paraId="3E0C5515" w14:textId="77777777" w:rsidR="001F6AF2" w:rsidRDefault="00000000">
      <w:pPr>
        <w:pStyle w:val="Heading1"/>
        <w:spacing w:line="360" w:lineRule="auto"/>
        <w:jc w:val="center"/>
        <w:rPr>
          <w:rFonts w:ascii="Times New Roman" w:hAnsi="Times New Roman" w:cs="Times New Roman"/>
          <w:b/>
          <w:bCs/>
          <w:color w:val="auto"/>
          <w:sz w:val="28"/>
          <w:szCs w:val="28"/>
          <w:lang w:val="az-Latn-AZ"/>
        </w:rPr>
      </w:pPr>
      <w:r>
        <w:rPr>
          <w:rFonts w:ascii="Times New Roman" w:hAnsi="Times New Roman" w:cs="Times New Roman"/>
          <w:b/>
          <w:bCs/>
          <w:color w:val="auto"/>
          <w:sz w:val="28"/>
          <w:szCs w:val="28"/>
          <w:lang w:val="az-Latn-AZ"/>
        </w:rPr>
        <w:t xml:space="preserve">3.3. Azərbaycan üçün sərhəddə ticarət </w:t>
      </w:r>
      <w:proofErr w:type="spellStart"/>
      <w:r>
        <w:rPr>
          <w:rFonts w:ascii="Times New Roman" w:hAnsi="Times New Roman" w:cs="Times New Roman"/>
          <w:b/>
          <w:bCs/>
          <w:color w:val="auto"/>
          <w:sz w:val="28"/>
          <w:szCs w:val="28"/>
          <w:lang w:val="az-Latn-AZ"/>
        </w:rPr>
        <w:t>göstəricilərinin</w:t>
      </w:r>
      <w:proofErr w:type="spellEnd"/>
      <w:r>
        <w:rPr>
          <w:rFonts w:ascii="Times New Roman" w:hAnsi="Times New Roman" w:cs="Times New Roman"/>
          <w:b/>
          <w:bCs/>
          <w:color w:val="auto"/>
          <w:sz w:val="28"/>
          <w:szCs w:val="28"/>
          <w:lang w:val="az-Latn-AZ"/>
        </w:rPr>
        <w:t xml:space="preserve"> </w:t>
      </w:r>
      <w:proofErr w:type="spellStart"/>
      <w:r>
        <w:rPr>
          <w:rFonts w:ascii="Times New Roman" w:hAnsi="Times New Roman" w:cs="Times New Roman"/>
          <w:b/>
          <w:bCs/>
          <w:color w:val="auto"/>
          <w:sz w:val="28"/>
          <w:szCs w:val="28"/>
          <w:lang w:val="az-Latn-AZ"/>
        </w:rPr>
        <w:t>təkmilləşdirilməsi</w:t>
      </w:r>
      <w:proofErr w:type="spellEnd"/>
      <w:r>
        <w:rPr>
          <w:rFonts w:ascii="Times New Roman" w:hAnsi="Times New Roman" w:cs="Times New Roman"/>
          <w:b/>
          <w:bCs/>
          <w:color w:val="auto"/>
          <w:sz w:val="28"/>
          <w:szCs w:val="28"/>
          <w:lang w:val="az-Latn-AZ"/>
        </w:rPr>
        <w:t xml:space="preserve"> üzrə konseptual yanaşmalar və təkliflər</w:t>
      </w:r>
    </w:p>
    <w:p w14:paraId="7A28DC9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xarici ticarət mühitinin müasir vəziyyəti müəyyən institusional irəliləyişləri əks etdirir. Dövlət Gömrük Komitəsinin islahat proqramları çərçivəsindəki rəqəmsal bəyannamə sisteminin genişləndirilməsi, riskə əsaslanan nəzarətin qismən tətbiqi, ticarəti asanlaşdırma üzrə hüquqi bazanın müntəzəm yenilənməsi — bütün bu addımlar mərhələli institusional transformasiyanın əlamətlərini daşıyır. Lakin OECD-nin ticarəti asanlaşdırma göstəriciləri, Dünya Bankının Ticarət Logistikası İndeksi kimi mötəbər beynəlxalq reytinqlərə görə Azərbaycanın sənəd prosedurları, qurumlar arası əməkdaşlıq, şəffaflıq və avans məlumat mexanizmləri kateqoriyalarında nəticəsinin regionun aparıcı iqtisadiyyatlarından — Gürcüstan, Türkiyə, Qazaxıstan — geri qalması struktur problemlərin hâlâ davam etdiyini göstərir. Həmin boşluğun aradan qaldırılması üçün texniki tədbirlərin sıralanmasından ibarət bir islahat siyahısı deyil, xüsusi konseptual yanaşmalara söykənən, ardıcıllıq məntiqi olan və beynəlxalq standartlarla uyğun bir çərçivə gərəkdir.</w:t>
      </w:r>
    </w:p>
    <w:p w14:paraId="0CA2B3FE"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üçün sərhəddə ticarət göstəricilərinin təkmilləşdirilməsinin birinci konseptual qatı texnoloji deyil — memar baxımından düzgün infrastruktur seçimidir. Tək pəncərə sistemi ideyası Azərbaycanda mövcuddur, lakin müxtəlif qurumların prosedurlarının vahid platforma üzərindəki tam inteqrasiyasından söhbət gedəndə hâlâ tamamlanmamış bir layihədən söhbət gedir. OECD-nin ticarətin rəqəmsallaşdırılması üzrə araşdırmasında qeyd edilmişdir ki, rəqəmsallaşdırmanın ticarət xərclərini azaltmadaki potensialı yalnız ayrı-ayrı prosedurların avtomatlaşdırılması ilə deyil, məlumat axınlarının bütün maraqlı tərəflər arasında real vaxtda paylaşılması — sənədlərin elektron formata keçirilməsi, həmçinin əsas əməliyyatlar arasında texniki əlaqəlilik — vasitəsilə gerçəkləşir [60].</w:t>
      </w:r>
    </w:p>
    <w:p w14:paraId="58DFE0ED"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Respublikasının "Biznes mühiti və beynəlxalq reytinqlər" üzrə Komissiyasının 2024-cü il üçün Yol Xəritəsi fitosanitar, baytarlıq, standartlaşdırma, iqtisadi operatorun icazəsi kimi bir sıra sertifikat növlərinin gömrük bəyannamə sisteminə elektron formatda inteqrasiyasını hədəfləyir. Həmin hədəfin texniki tamamlanması üçün iki zəruri şərt mövcuddur. Texniki standartlaşdırma baxımından bütün tənzimləyici qurumların məlumat formatları API uyğunluğu standartına keçirilməli, məlumat mülkiyyəti qaydaları normativ aktda aydın müəyyən edilməlidir. İnstitusional baxımdan isə hər bir müvafiq orqanın platforma üzərindəki öhdəliklərini — cavab müddəti, məlumatın dəqiqliyi, texniki xərclər bölgüsü — tənzimləyən hüquqi sənəd qəbul edilməlidir. Texnologiyanın hüquqi çərçivəyə söykənmədən inteqrasiyası institusional sürtünmə yaradır — Avropa İttifaqının öz tək pəncərə sistemini qurarkən bu sıralama ilə ciddi şəkildə məşğul olması həmin dərsin ən bariz sübutudur [54].</w:t>
      </w:r>
    </w:p>
    <w:p w14:paraId="1FC4D32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Riskə əsaslanan nəzarətin yüksək texniki inkişaf səviyyəsi inkişaf etmiş gömrük idarəetmə sistemlərinin ümumi fərqləndirici cəhətidir. Azərbaycanda bu mexanizm normativ baxımdan müəyyən edilmiş, lakin texniki tətbiqi baxımından hâlâ natamam bir yöndür. Problem risk profilinin özündə deyil — mövcud ayrılmış məlumat mənbələrinin risk profili sisteminin girişinə konsolidasiya edilməmiş şəkildə qalmasındadır. Ticarətçinin keçmiş uyğunluq tarixi, post-klirens auditin nəticələri, tərəfdaş ölkə gömrük administrasiyalarından gələn kəşfiyyat məlumatları, mal mənşəyi risk sinfləndirməsi — bu dörd məlumat qatının vahid risk skoru hesablama mühitinə inteqrasiyası olmadan risk profilinin ayrı-seçkilik gücü struktur baxımından məhduddur.</w:t>
      </w:r>
    </w:p>
    <w:p w14:paraId="5CE4ED42"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WCO-nun SAFE Çərçivəsi risk idarəetməsinin yüksək inkişaf mərhələsi üçün üç prioritet müəyyən edir: birlikdə risk qiymətləndirilməsinin (joint risk assessment) tənzimləyici orqanlar arasında müəssisəlləşdirilməsi, post-klirens auditin həm vergi, həm gömrük, həm kəmiyyət statistikası nöqtəsindən inteqrasiya edilmiş şəkildə aparılması, tərəfdaş gömrük administrasiyalarının məlumat mübadiləsi protokolları vasitəsilə kəşfiyyat axınına qoşulması [67]. Azərbaycan üçün bu üç elementin mərhələli inteqrasiyası risk analitikasının kifayət qədər geniş məlumat bazası üzərindən işləməsini mümkün edəcəkdir. Nəticə etibarilə yüksək uyğunluq tarixi olan iqtisadi operatorların yük paylaşımı artacaq, nəzarət resursları isə faktiki riskli konsinymentlərə daha dəqiq yönəldiləcəkdir.</w:t>
      </w:r>
    </w:p>
    <w:p w14:paraId="556EED5E"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Milli Səlahiyyətli İqtisadi Operator (SİO) proqramının genişləndirilməsi bu istiqamətin ikinci kritik elementidir. 2024-cü ilin yol xəritəsinin müvafiq müddəalarına görə Azərbaycan WCO-nun qarşılıqlı tanıma standartlarına uyğun şəkildə ikitərəfli SİO sazişlərinin genişləndirilməsini hədəfləyir. Gürcüstan, Türkiyə, Qazaxıstanla ikitərəfli SİO tanıma sazişlərinin imzalanması Orta Dəhliz üzərindən keçən tranzit yük axınında klirens sürətini struktur baxımından yüksəldəcəkdir — çünki bir ölkədə SİO statusu almış operator tərəfdaş ölkə sərhədindən keçərkən daha aşağı inspeksiya riskinə düşəcəkdir. Bu isə Azərbaycana həm ticarət asanlaşdırması baxımından, həm tranzit cəlbediciliyi baxımından ikiqat üstünlük verəcəkdir.</w:t>
      </w:r>
    </w:p>
    <w:p w14:paraId="1B951AAC"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Azərbaycanda sərhəddə ticarətin səmərəliliyini məhdudlaşdıran struktur problemlərdən biri müxtəlif tənzimləyici orqanların eyni yük üzərindəki nəzarət prosedurlarını ardıcıl deyil, paralel həyata keçirə bilməməsidir. Rotterdam limanının nümunəsindən qaynaqlanan dərs məhz burada pratik bir islahat istiqamətinə çevrilir: Bakı Beynəlxalq Dəniz Ticarət Limanında, Əlat Azad İqtisadi Zonasında, Qırmızı Körpü, Astara, Xaçmaz kimi quru keçid məntəqələrindəki tənzimləyici qurumlar üçün vahid risk profili sisteminin yaradılması fiziki yoxlama prosedurlarının paralel qaydada aparılmasının texniki zəminini formalaşdıracaqdır.</w:t>
      </w:r>
    </w:p>
    <w:p w14:paraId="422D0510"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UNCTAD-ın nəqliyyat və ticarəti asanlaşdırma seriyasına görə koordinasiyalı sərhəd idarəetməsi (Coordinated Border Management, CBM) mexanizminin tətbiqi klirens müddətlərini 20 ilə 50 faiz azaldır, bu isə sənəd prosedurlarındakı azalmadan çox daha güclü bir effektdir [61]. Azərbaycan üçün CBM modelinin praktiki tətbiqi üç addımdan ibarət ola bilər. İlk addım olaraq pilot yük klirens məntəqəsini seçərək — Əlat limanı bu baxımdan ən əlverişli başlanğıc nöqtəsidir — fiziki nəzarəti həyata keçirən orqanlar üçün vahid inspeksiya buraxılış protokolu qurulmalıdır. İkinci addım olaraq vahid risk skoirndan istifadə edən elektron koordinasiya platforması çərçivəsindəki müvafiq qurumların əlaqəli iştirakını tənzimləyən qaydalar qəbul edilməlidir. Üçüncü addım kimi isə pilot nəticəsinin statistik qiymətləndirilməsindən sonra model qalan keçid məntəqələrinə tədricən yayılmalıdır.</w:t>
      </w:r>
    </w:p>
    <w:p w14:paraId="542802B7"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WTO-nun Ticarəti Asanlaşdırma Sazişinin 1-3-cü maddələri gömrük qaydaları, rüsumları, tətbiq edilən prosedurlar, müraciət nöqtələri haqqında məlumatların elektron formatda, asanlıqla əlçatan şəkildə yayımlanmasını, həmçinin ticarətçilərin tarif sinifləndirmə, mənşə müəyyən edilməsi, gömrük qiyməti kimi məsələlər üzrə avans qərar (advance ruling) almaq hüququnu müəssisəlləşdirməyi tələb edir [68]. Azərbaycan öz gömrük portalı vasitəsilə tənzimləyici məlumatların bir qismini yayımlayır, lakin avans qərar sisteminin ticarətçilər tərəfindən istifadə nisbəti aşağı, cavab müddəti isə standartlaşdırılmamış qalır.</w:t>
      </w:r>
    </w:p>
    <w:p w14:paraId="1DFD006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Avans qərar sisteminin operativ gücləndirilməsi üçün üç konkret islahat tövsiyə olunur. Gömrük İdarəsinin müvafiq bölməsinin avans qərar proseduru üçün formal normativ sənəd qəbul etməsi, cavab müddəti üçün məcburi zaman standartı — məsələn, 30 günlük azami müddət — müəyyən edilməsi, qəbul edilmiş avans qərarların anonim şəkildə ümumi bazada yayımlanaraq analoji hallarda ticarətçilər tərəfindən istinad mənbəyi kimi istifadəsinə imkan verilməsi həmin üç addımı formalaşdırır. OECD-nin məlumat əlçatanlığı göstəricisi üzrə hesabatında avans qərar sisteminin iqtisadi faydası sənəd hazırlığındakı qeyri-müəyyənliyin azaldılması üzərindən ölçülür: ticarətçi tarif sinifləndirməni öncədən bilsə, sənəd prosedurunu bu məlumata uyğun həyata keçirir, gömrük keçidindəki mübahisə ehtimalı azalır, klirens müddəti qısalır [59].</w:t>
      </w:r>
    </w:p>
    <w:p w14:paraId="0E04FB56"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coğrafi mövqeyi Orta Dəhliz — Trans-Xəzər Beynəlxalq Nəqliyyat Marşrutu — üzərindəki tranzit yük axınının strateji qovşağı rolunu verir. Həmin marşrutun rəqabətqabiliyyətliyi üçün təkcə fiziki infrastruktur — liman, dəmir yolu, kamiyon nöqtələri — deyil, sərhəd prosedurlarının öncədan proqnozlaşdırıla bilən müddəti, sənəd tələblərinin rəqəmsal formatda standartlaşdırılması, tranzit gömrük prosedurlarının UNECE-nin TIR Sazişi standartlarıyla tam uyğunluğu vacibdir.</w:t>
      </w:r>
    </w:p>
    <w:p w14:paraId="702AC125"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Azərbaycanın İstanbul Konvensiyasına qoşulması üzrə işlərin sürətləndirilməsi 2024-cü il Yol Xəritəsinin müvafiq müddəasında göstərilmişdir. Müvəqqəti idxal rejiminə dair İstanbul Konvensiyası ticarətçilərə məhsulları müvəqqəti idxal etmək, müvafiq proseslər tamamlandıqdan sonra rüsum ödəmədən ixrac etmək imkanı verdiyi üçün sərgi, servis, sınaq məqsədli idxalda prosedur xərclərini əhəmiyyətli dərəcədə azaldır. UNECE çərçivəsindəki digər tranzit razılaşmalarına tam uyğunluq isə Azərbaycan üzərindən keçən yük axını üçün regional tərəfdaşların statistik seçimini müsbət istiqamətdə yenidən şərtləndirəcəkdir [63].</w:t>
      </w:r>
    </w:p>
    <w:p w14:paraId="33409D68"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Transxəzər Gömrük Tranzit Portalının inkişaf etdirilməsi istiqamətindəki regional əməkdaşlıq da bu çərçivədə əhəmiyyət daşıyır. Portal Azərbaycan, Gürcüstan, Türkiyə, Qazaxıstan, Özbəkistan gömrük idarələrini vahid rəqəmsal interfeysə birləşdirərək tranzit karneti, mal bəyannaməsi, yük izlənməsi kimi funksiyaları konsolidasiya etsə, marşrut üzrə hər gömrük keçid nöqtəsindəki ayrıca sənəd yükü əhəmiyyətli dərəcədə azalacaqdır. Türk Dövlətləri Təşkilatının ticarəti asanlaşdırma üzrə birgə işçi qrupunun 2024-cü ildəki iclasında həmin platformanın inkişafı prioritet kimi müəyyən edilmiş, Azərbaycan əlaqələndirici qurum rolunu öhdəsinə götürmüşdür. Azərbaycanın bu prosesdə liderlik edəcəyi düşünülürsə, öz gömrük infrastrukturunun texniki hazırlıq standartının regional portalın tələblərinə uyğun olması da bir siyasi öhdəlik kimi qəbul edilməlidir.</w:t>
      </w:r>
    </w:p>
    <w:p w14:paraId="50E36716" w14:textId="77777777" w:rsidR="001F6AF2" w:rsidRDefault="001F6AF2">
      <w:pPr>
        <w:spacing w:after="0" w:line="360" w:lineRule="auto"/>
        <w:ind w:firstLine="709"/>
        <w:jc w:val="both"/>
        <w:rPr>
          <w:rFonts w:ascii="Times New Roman" w:hAnsi="Times New Roman" w:cs="Times New Roman"/>
          <w:sz w:val="28"/>
          <w:szCs w:val="28"/>
          <w:lang w:val="tr-TR"/>
        </w:rPr>
      </w:pPr>
    </w:p>
    <w:p w14:paraId="3EF69BB2" w14:textId="77777777" w:rsidR="001F6AF2" w:rsidRDefault="001F6AF2">
      <w:pPr>
        <w:spacing w:after="0" w:line="360" w:lineRule="auto"/>
        <w:ind w:firstLine="709"/>
        <w:jc w:val="both"/>
        <w:rPr>
          <w:rFonts w:ascii="Times New Roman" w:hAnsi="Times New Roman" w:cs="Times New Roman"/>
          <w:sz w:val="28"/>
          <w:szCs w:val="28"/>
          <w:lang w:val="tr-TR"/>
        </w:rPr>
      </w:pPr>
    </w:p>
    <w:p w14:paraId="15BFDA4D" w14:textId="77777777" w:rsidR="001F6AF2" w:rsidRDefault="001F6AF2">
      <w:pPr>
        <w:spacing w:after="0" w:line="360" w:lineRule="auto"/>
        <w:ind w:firstLine="709"/>
        <w:jc w:val="both"/>
        <w:rPr>
          <w:rFonts w:ascii="Times New Roman" w:hAnsi="Times New Roman" w:cs="Times New Roman"/>
          <w:sz w:val="28"/>
          <w:szCs w:val="28"/>
          <w:lang w:val="tr-TR"/>
        </w:rPr>
      </w:pPr>
    </w:p>
    <w:p w14:paraId="7C267F41" w14:textId="77777777" w:rsidR="001F6AF2" w:rsidRDefault="00000000">
      <w:pPr>
        <w:spacing w:after="0" w:line="360" w:lineRule="auto"/>
        <w:ind w:firstLine="709"/>
        <w:jc w:val="center"/>
        <w:rPr>
          <w:rFonts w:ascii="Times New Roman" w:hAnsi="Times New Roman" w:cs="Times New Roman"/>
          <w:b/>
          <w:bCs/>
          <w:sz w:val="28"/>
          <w:szCs w:val="28"/>
          <w:lang w:val="tr-TR"/>
        </w:rPr>
      </w:pPr>
      <w:r>
        <w:rPr>
          <w:rFonts w:ascii="Times New Roman" w:hAnsi="Times New Roman" w:cs="Times New Roman"/>
          <w:b/>
          <w:bCs/>
          <w:sz w:val="28"/>
          <w:szCs w:val="28"/>
          <w:lang w:val="tr-TR"/>
        </w:rPr>
        <w:t>NƏTİCƏ VƏ TƏKLİFLƏR</w:t>
      </w:r>
    </w:p>
    <w:p w14:paraId="6BECE529"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Aparılmış tədqiqat göstərir ki, sərhəddə ticarət müasir xarici ticarət sisteminin yalnız coğrafi yaxınlıq üzərində qurulan sadə mübadilə forması deyil, həm də regional inteqrasiyanı, iqtisadi təhlükəsizliyi, logistika çevikliyini və dövlətin fiskal maraqlarını birləşdirən çoxşaxəli iqtisadi mexanizmdir. Araşdırma nəticəsində müəyyən edilmişdir ki, sərhəddə ticarət sərhəd regionlarında iqtisadi fəallığın artmasına, kiçik və orta sahibkarlığın bazara çıxış imkanlarının genişlənməsinə, infrastrukturun modernləşdirilməsinə və yeni məşğulluq imkanlarının formalaşmasına mühüm təsir göstərir. Bu baxımdan sərhəddə ticarət yalnız ticarət dövriyyəsinin artımına deyil, həm də regionların sosial-iqtisadi inkişafına xidmət edən strateji alət kimi çıxış edir.</w:t>
      </w:r>
    </w:p>
    <w:p w14:paraId="7A203C2B"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Tədqiqatın nəzəri hissəsi sübut edir ki, sərhəddə ticarətin səmərəliliyi ayrı-ayrı göstəricilərlə deyil, kompleks indikatorlar sistemi ilə qiymətləndirilməlidir. Mal dövriyyəsinin ümumi dəyəri, ticarət artım tempi, sərhəddən keçid müddəti, logistika xərcləri, gömrük daxilolmaları, compliance səviyyəsi, məhsul çeşidinin genişliyi, rentabellik, təhlükəsizlik və multiplikativ təsir göstəriciləri sərhəddə ticarətin həm mikro, həm də makroiqtisadi nəticələrini dəyərləndirmək üçün vahid analitik baza yaradır. Bu yanaşma göstərir ki, sərhəddə ticarətin real səmərəliliyi yalnız əməliyyat sürəti ilə deyil, eyni zamanda institusional dayanıqlıq, şəffaflıq, risklərin idarə olunması və regional inkişaf potensialı ilə ölçülməlidir.</w:t>
      </w:r>
    </w:p>
    <w:p w14:paraId="41B13B93"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Azərbaycan üzrə aparılmış təhlil göstərir ki, 2015–2024-cü illərdə xarici ticarət dövriyyəsində ümumi artım meyli müşahidə olunsa da, ticarət strukturunda enerji məhsullarının dominantlığı hələ də qalmaqdadır. Eyni zamanda qeyri-neft ixracında müəyyən artım əlamətləri, əsas ticarət tərəfdaşları üzrə coğrafi şaxələnmə və idxalın texnoloji tərkibinin genişlənməsi ölkənin xarici ticarət sistemində transformasiya potensialının mövcudluğunu göstərir. Bununla belə, tədqiqat göstərir ki, sərhəddə ticarətin səmərəliliyinin artırılması üçün sənəd prosedurlarının sadələşdirilməsi, qurumlararası koordinasiyanın dərinləşdirilməsi, rəqəmsal inteqrasiyanın genişləndirilməsi və risk əsaslı nəzarət sisteminin daha funksional qurulması vacibdir.</w:t>
      </w:r>
    </w:p>
    <w:p w14:paraId="47475D47" w14:textId="77777777" w:rsidR="001F6AF2" w:rsidRDefault="00000000">
      <w:pPr>
        <w:spacing w:after="0" w:line="360" w:lineRule="auto"/>
        <w:ind w:firstLine="709"/>
        <w:jc w:val="both"/>
        <w:rPr>
          <w:rFonts w:ascii="Times New Roman" w:hAnsi="Times New Roman" w:cs="Times New Roman"/>
          <w:sz w:val="28"/>
          <w:szCs w:val="28"/>
          <w:lang w:val="tr-TR"/>
        </w:rPr>
      </w:pPr>
      <w:r>
        <w:rPr>
          <w:rFonts w:ascii="Times New Roman" w:hAnsi="Times New Roman" w:cs="Times New Roman"/>
          <w:sz w:val="28"/>
          <w:szCs w:val="28"/>
          <w:lang w:val="tr-TR"/>
        </w:rPr>
        <w:t>Araşdırma həmçinin təsdiqləyir ki, gömrük orqanlarının fəaliyyəti sərhəddə ticarətin səmərəliliyinin müəyyən edilməsində əsas institusional dayaqlardan biridir. Operativlik, fiskal nəticələr, təhlükəsizlik, risk idarəetməsi, rəqəmsallaşma səviyyəsi, şəffaflıq və beynəlxalq standartlara uyğunluq gömrük sisteminin effektivliyini müəyyən edən başlıca meyarlardır. Beynəlxalq təcrübənin təhlili göstərir ki, vahid pəncərə sistemi, koordinasiyalı sərhəd idarəetməsi, AEO/SİO mexanizmləri, post-klirens audit, avans qərar sistemi və inteqrasiya olunmuş risk analitikası sərhəddə ticarətin həm sürətini, həm də təhlükəsizliyini artıran əsas vasitələrdir. Nəticə etibarilə, Azərbaycanın sərhəddə ticarət sahəsində dayanıqlı nəticələr əldə etməsi üçün texniki yeniliklərlə yanaşı hüquqi, institusional və idarəetmə əsaslarının da paralel şəkildə təkmilləşdirilməsi zəruridir.</w:t>
      </w:r>
    </w:p>
    <w:p w14:paraId="17D255B2" w14:textId="77777777" w:rsidR="001F6AF2" w:rsidRDefault="00000000">
      <w:pPr>
        <w:spacing w:after="0" w:line="360" w:lineRule="auto"/>
        <w:ind w:firstLine="709"/>
        <w:jc w:val="both"/>
        <w:rPr>
          <w:rFonts w:ascii="Times New Roman" w:hAnsi="Times New Roman" w:cs="Times New Roman"/>
          <w:b/>
          <w:bCs/>
          <w:sz w:val="28"/>
          <w:szCs w:val="28"/>
          <w:lang w:val="tr-TR"/>
        </w:rPr>
      </w:pPr>
      <w:r>
        <w:rPr>
          <w:rFonts w:ascii="Times New Roman" w:hAnsi="Times New Roman" w:cs="Times New Roman"/>
          <w:b/>
          <w:bCs/>
          <w:sz w:val="28"/>
          <w:szCs w:val="28"/>
          <w:lang w:val="tr-TR"/>
        </w:rPr>
        <w:t>Təkliflər:</w:t>
      </w:r>
    </w:p>
    <w:p w14:paraId="7B2E4C87" w14:textId="77777777" w:rsidR="001F6AF2" w:rsidRDefault="00000000">
      <w:pPr>
        <w:numPr>
          <w:ilvl w:val="0"/>
          <w:numId w:val="1"/>
        </w:numPr>
        <w:tabs>
          <w:tab w:val="left" w:pos="720"/>
        </w:tabs>
        <w:spacing w:after="0" w:line="360" w:lineRule="auto"/>
        <w:ind w:left="0" w:firstLine="567"/>
        <w:jc w:val="both"/>
        <w:rPr>
          <w:rFonts w:ascii="Times New Roman" w:hAnsi="Times New Roman" w:cs="Times New Roman"/>
          <w:sz w:val="28"/>
          <w:szCs w:val="28"/>
          <w:lang w:val="tr-TR"/>
        </w:rPr>
      </w:pPr>
      <w:r>
        <w:rPr>
          <w:rFonts w:ascii="Times New Roman" w:hAnsi="Times New Roman" w:cs="Times New Roman"/>
          <w:sz w:val="28"/>
          <w:szCs w:val="28"/>
          <w:lang w:val="tr-TR"/>
        </w:rPr>
        <w:t>Sərhəddə ticarətin səmərəliliyinin yüksəldilməsi məqsədilə bütün aidiyyəti dövlət qurumlarını əhatə edən tam inteqrasiya olunmuş vahid pəncərə sistemi formalaşdırılmalı, fitosanitar, baytarlıq, standartlaşdırma və digər icazə sənədləri gömrük platformasına tam elektron rejimdə birləşdirilməlidir.</w:t>
      </w:r>
    </w:p>
    <w:p w14:paraId="3A3AC018" w14:textId="77777777" w:rsidR="001F6AF2" w:rsidRDefault="00000000">
      <w:pPr>
        <w:numPr>
          <w:ilvl w:val="0"/>
          <w:numId w:val="1"/>
        </w:numPr>
        <w:tabs>
          <w:tab w:val="left" w:pos="720"/>
        </w:tabs>
        <w:spacing w:after="0" w:line="360" w:lineRule="auto"/>
        <w:ind w:left="0" w:firstLine="567"/>
        <w:jc w:val="both"/>
        <w:rPr>
          <w:rFonts w:ascii="Times New Roman" w:hAnsi="Times New Roman" w:cs="Times New Roman"/>
          <w:sz w:val="28"/>
          <w:szCs w:val="28"/>
          <w:lang w:val="tr-TR"/>
        </w:rPr>
      </w:pPr>
      <w:r>
        <w:rPr>
          <w:rFonts w:ascii="Times New Roman" w:hAnsi="Times New Roman" w:cs="Times New Roman"/>
          <w:sz w:val="28"/>
          <w:szCs w:val="28"/>
          <w:lang w:val="tr-TR"/>
        </w:rPr>
        <w:t>Risk əsaslı nəzarət sistemi təkmilləşdirilməli, ticarətçinin uyğunluq tarixçəsi, post-klirens audit nəticələri, tərəfdaş ölkələrdən daxil olan məlumatlar və mal mənşəyi profilləri vahid risk analitikası bazasında birləşdirilməlidir.</w:t>
      </w:r>
    </w:p>
    <w:p w14:paraId="7AE825AB" w14:textId="77777777" w:rsidR="001F6AF2" w:rsidRDefault="00000000">
      <w:pPr>
        <w:numPr>
          <w:ilvl w:val="0"/>
          <w:numId w:val="1"/>
        </w:numPr>
        <w:tabs>
          <w:tab w:val="left" w:pos="720"/>
        </w:tabs>
        <w:spacing w:after="0" w:line="360" w:lineRule="auto"/>
        <w:ind w:left="0" w:firstLine="567"/>
        <w:jc w:val="both"/>
        <w:rPr>
          <w:rFonts w:ascii="Times New Roman" w:hAnsi="Times New Roman" w:cs="Times New Roman"/>
          <w:sz w:val="28"/>
          <w:szCs w:val="28"/>
          <w:lang w:val="tr-TR"/>
        </w:rPr>
      </w:pPr>
      <w:r>
        <w:rPr>
          <w:rFonts w:ascii="Times New Roman" w:hAnsi="Times New Roman" w:cs="Times New Roman"/>
          <w:sz w:val="28"/>
          <w:szCs w:val="28"/>
          <w:lang w:val="tr-TR"/>
        </w:rPr>
        <w:t>Bakı Limanı, Ələt Azad İqtisadi Zonası, Qırmızı Körpü, Astara və digər əsas keçid məntəqələrində koordinasiyalı sərhəd idarəetməsi modeli mərhələli şəkildə tətbiq edilməli, paralel yoxlama və vahid inspeksiya protokolları qurulmalıdır.</w:t>
      </w:r>
    </w:p>
    <w:p w14:paraId="36F9FFDE" w14:textId="77777777" w:rsidR="001F6AF2" w:rsidRDefault="00000000">
      <w:pPr>
        <w:numPr>
          <w:ilvl w:val="0"/>
          <w:numId w:val="1"/>
        </w:numPr>
        <w:tabs>
          <w:tab w:val="left" w:pos="720"/>
        </w:tabs>
        <w:spacing w:after="0" w:line="360" w:lineRule="auto"/>
        <w:ind w:left="0" w:firstLine="567"/>
        <w:jc w:val="both"/>
        <w:rPr>
          <w:rFonts w:ascii="Times New Roman" w:hAnsi="Times New Roman" w:cs="Times New Roman"/>
          <w:sz w:val="28"/>
          <w:szCs w:val="28"/>
          <w:lang w:val="tr-TR"/>
        </w:rPr>
      </w:pPr>
      <w:r>
        <w:rPr>
          <w:rFonts w:ascii="Times New Roman" w:hAnsi="Times New Roman" w:cs="Times New Roman"/>
          <w:sz w:val="28"/>
          <w:szCs w:val="28"/>
          <w:lang w:val="tr-TR"/>
        </w:rPr>
        <w:t>Avans qərar mexanizmi üzrə normativ baza gücləndirilməli, tarif təsnifatı, mənşə və gömrük dəyəri ilə bağlı qərarların verilməsi üçün standart vaxt çərçivəsi müəyyən olunmalı və qəbul edilmiş qərarlar anonim formada açıq elektron bazada yayımlanmalıdır.</w:t>
      </w:r>
    </w:p>
    <w:p w14:paraId="2FD9AD1C" w14:textId="77777777" w:rsidR="001F6AF2" w:rsidRDefault="00000000">
      <w:pPr>
        <w:numPr>
          <w:ilvl w:val="0"/>
          <w:numId w:val="1"/>
        </w:numPr>
        <w:tabs>
          <w:tab w:val="left" w:pos="720"/>
        </w:tabs>
        <w:spacing w:after="0" w:line="360" w:lineRule="auto"/>
        <w:ind w:left="0" w:firstLine="567"/>
        <w:jc w:val="both"/>
        <w:rPr>
          <w:rFonts w:ascii="Times New Roman" w:hAnsi="Times New Roman" w:cs="Times New Roman"/>
          <w:sz w:val="28"/>
          <w:szCs w:val="28"/>
          <w:lang w:val="tr-TR"/>
        </w:rPr>
      </w:pPr>
      <w:r>
        <w:rPr>
          <w:rFonts w:ascii="Times New Roman" w:hAnsi="Times New Roman" w:cs="Times New Roman"/>
          <w:sz w:val="28"/>
          <w:szCs w:val="28"/>
          <w:lang w:val="tr-TR"/>
        </w:rPr>
        <w:t>Milli Səlahiyyətli İqtisadi Operator proqramı genişləndirilməli, xüsusilə Türkiyə, Gürcüstan və Qazaxıstan kimi əsas tranzit tərəfdaşlarla qarşılıqlı tanınma sazişləri sürətləndirilməlidir.</w:t>
      </w:r>
    </w:p>
    <w:p w14:paraId="4CD2CD42" w14:textId="77777777" w:rsidR="001F6AF2" w:rsidRDefault="00000000">
      <w:pPr>
        <w:numPr>
          <w:ilvl w:val="0"/>
          <w:numId w:val="1"/>
        </w:numPr>
        <w:tabs>
          <w:tab w:val="left" w:pos="720"/>
        </w:tabs>
        <w:spacing w:after="0" w:line="360" w:lineRule="auto"/>
        <w:ind w:left="0" w:firstLine="567"/>
        <w:jc w:val="both"/>
        <w:rPr>
          <w:rFonts w:ascii="Times New Roman" w:hAnsi="Times New Roman" w:cs="Times New Roman"/>
          <w:sz w:val="28"/>
          <w:szCs w:val="28"/>
          <w:lang w:val="tr-TR"/>
        </w:rPr>
      </w:pPr>
      <w:r>
        <w:rPr>
          <w:rFonts w:ascii="Times New Roman" w:hAnsi="Times New Roman" w:cs="Times New Roman"/>
          <w:sz w:val="28"/>
          <w:szCs w:val="28"/>
          <w:lang w:val="tr-TR"/>
        </w:rPr>
        <w:t>Sərhəd ticarətinin uzunmüddətli inkişafı üçün qeyri-neft ixracını, sərhədyanı istehsal sahələrini, logistika mərkəzlərini və rəqəmsal gömrük infrastrukturunu dəstəkləyən kompleks dövlət proqramı hazırlanmalı və bu proqram regional inkişaf strategiyaları ilə uzlaşdırılmalıdır.</w:t>
      </w:r>
    </w:p>
    <w:p w14:paraId="4E193EC2" w14:textId="77777777" w:rsidR="001F6AF2" w:rsidRDefault="001F6AF2">
      <w:pPr>
        <w:spacing w:after="0" w:line="360" w:lineRule="auto"/>
        <w:ind w:firstLine="709"/>
        <w:jc w:val="both"/>
        <w:rPr>
          <w:rFonts w:ascii="Times New Roman" w:hAnsi="Times New Roman" w:cs="Times New Roman"/>
          <w:sz w:val="28"/>
          <w:szCs w:val="28"/>
          <w:lang w:val="tr-TR"/>
        </w:rPr>
      </w:pPr>
    </w:p>
    <w:p w14:paraId="398973E4" w14:textId="77777777" w:rsidR="001F6AF2" w:rsidRDefault="001F6AF2">
      <w:pPr>
        <w:spacing w:after="0" w:line="360" w:lineRule="auto"/>
        <w:ind w:firstLine="709"/>
        <w:jc w:val="both"/>
        <w:rPr>
          <w:rFonts w:ascii="Times New Roman" w:hAnsi="Times New Roman" w:cs="Times New Roman"/>
          <w:sz w:val="28"/>
          <w:szCs w:val="28"/>
          <w:lang w:val="tr-TR"/>
        </w:rPr>
      </w:pPr>
    </w:p>
    <w:p w14:paraId="692FBC61" w14:textId="77777777" w:rsidR="001F6AF2" w:rsidRDefault="001F6AF2">
      <w:pPr>
        <w:spacing w:after="0" w:line="360" w:lineRule="auto"/>
        <w:ind w:firstLine="709"/>
        <w:jc w:val="both"/>
        <w:rPr>
          <w:rFonts w:ascii="Times New Roman" w:hAnsi="Times New Roman" w:cs="Times New Roman"/>
          <w:sz w:val="28"/>
          <w:szCs w:val="28"/>
          <w:lang w:val="tr-TR"/>
        </w:rPr>
      </w:pPr>
    </w:p>
    <w:p w14:paraId="675ACB2C" w14:textId="77777777" w:rsidR="001F6AF2" w:rsidRDefault="001F6AF2">
      <w:pPr>
        <w:spacing w:after="0" w:line="360" w:lineRule="auto"/>
        <w:ind w:firstLine="709"/>
        <w:jc w:val="both"/>
        <w:rPr>
          <w:rFonts w:ascii="Times New Roman" w:hAnsi="Times New Roman" w:cs="Times New Roman"/>
          <w:sz w:val="28"/>
          <w:szCs w:val="28"/>
          <w:lang w:val="tr-TR"/>
        </w:rPr>
      </w:pPr>
    </w:p>
    <w:p w14:paraId="21315371" w14:textId="77777777" w:rsidR="001F6AF2" w:rsidRDefault="001F6AF2">
      <w:pPr>
        <w:spacing w:after="0" w:line="360" w:lineRule="auto"/>
        <w:ind w:firstLine="709"/>
        <w:jc w:val="both"/>
        <w:rPr>
          <w:rFonts w:ascii="Times New Roman" w:hAnsi="Times New Roman" w:cs="Times New Roman"/>
          <w:sz w:val="28"/>
          <w:szCs w:val="28"/>
          <w:lang w:val="tr-TR"/>
        </w:rPr>
      </w:pPr>
    </w:p>
    <w:p w14:paraId="7C5AE493" w14:textId="77777777" w:rsidR="001F6AF2" w:rsidRDefault="001F6AF2">
      <w:pPr>
        <w:spacing w:after="0" w:line="360" w:lineRule="auto"/>
        <w:ind w:firstLine="709"/>
        <w:jc w:val="both"/>
        <w:rPr>
          <w:rFonts w:ascii="Times New Roman" w:hAnsi="Times New Roman" w:cs="Times New Roman"/>
          <w:sz w:val="28"/>
          <w:szCs w:val="28"/>
          <w:lang w:val="tr-TR"/>
        </w:rPr>
      </w:pPr>
    </w:p>
    <w:p w14:paraId="45FFC307" w14:textId="77777777" w:rsidR="001F6AF2" w:rsidRDefault="001F6AF2">
      <w:pPr>
        <w:spacing w:after="0" w:line="360" w:lineRule="auto"/>
        <w:ind w:firstLine="709"/>
        <w:jc w:val="both"/>
        <w:rPr>
          <w:rFonts w:ascii="Times New Roman" w:hAnsi="Times New Roman" w:cs="Times New Roman"/>
          <w:sz w:val="28"/>
          <w:szCs w:val="28"/>
          <w:lang w:val="az-Latn-AZ"/>
        </w:rPr>
      </w:pPr>
    </w:p>
    <w:p w14:paraId="7FE9C578" w14:textId="77777777" w:rsidR="001F6AF2" w:rsidRDefault="001F6AF2">
      <w:pPr>
        <w:spacing w:after="0" w:line="360" w:lineRule="auto"/>
        <w:ind w:firstLine="709"/>
        <w:jc w:val="both"/>
        <w:rPr>
          <w:rFonts w:ascii="Times New Roman" w:hAnsi="Times New Roman" w:cs="Times New Roman"/>
          <w:sz w:val="28"/>
          <w:szCs w:val="28"/>
          <w:lang w:val="az-Latn-AZ"/>
        </w:rPr>
      </w:pPr>
    </w:p>
    <w:p w14:paraId="46499C4E" w14:textId="77777777" w:rsidR="001F6AF2" w:rsidRDefault="001F6AF2">
      <w:pPr>
        <w:spacing w:after="0" w:line="360" w:lineRule="auto"/>
        <w:ind w:firstLine="709"/>
        <w:jc w:val="both"/>
        <w:rPr>
          <w:rFonts w:ascii="Times New Roman" w:hAnsi="Times New Roman" w:cs="Times New Roman"/>
          <w:sz w:val="28"/>
          <w:szCs w:val="28"/>
          <w:lang w:val="az-Latn-AZ"/>
        </w:rPr>
      </w:pPr>
    </w:p>
    <w:p w14:paraId="10FE452A" w14:textId="77777777" w:rsidR="001F6AF2" w:rsidRDefault="001F6AF2">
      <w:pPr>
        <w:spacing w:after="0" w:line="360" w:lineRule="auto"/>
        <w:jc w:val="both"/>
        <w:rPr>
          <w:rFonts w:ascii="Times New Roman" w:hAnsi="Times New Roman" w:cs="Times New Roman"/>
          <w:sz w:val="28"/>
          <w:szCs w:val="28"/>
          <w:lang w:val="az-Latn-AZ"/>
        </w:rPr>
      </w:pPr>
    </w:p>
    <w:p w14:paraId="05B01429" w14:textId="77777777" w:rsidR="001F6AF2" w:rsidRDefault="001F6AF2">
      <w:pPr>
        <w:spacing w:after="0" w:line="360" w:lineRule="auto"/>
        <w:ind w:firstLine="709"/>
        <w:jc w:val="both"/>
        <w:rPr>
          <w:rFonts w:ascii="Times New Roman" w:hAnsi="Times New Roman" w:cs="Times New Roman"/>
          <w:sz w:val="28"/>
          <w:szCs w:val="28"/>
          <w:lang w:val="az-Latn-AZ"/>
        </w:rPr>
      </w:pPr>
    </w:p>
    <w:p w14:paraId="4F020957" w14:textId="77777777" w:rsidR="001F6AF2" w:rsidRDefault="001F6AF2">
      <w:pPr>
        <w:spacing w:after="0" w:line="360" w:lineRule="auto"/>
        <w:ind w:firstLine="709"/>
        <w:jc w:val="both"/>
        <w:rPr>
          <w:rFonts w:ascii="Times New Roman" w:hAnsi="Times New Roman" w:cs="Times New Roman"/>
          <w:sz w:val="28"/>
          <w:szCs w:val="28"/>
          <w:lang w:val="az-Latn-AZ"/>
        </w:rPr>
      </w:pPr>
    </w:p>
    <w:p w14:paraId="1C2D1B09" w14:textId="77777777" w:rsidR="001F6AF2" w:rsidRDefault="001F6AF2">
      <w:pPr>
        <w:spacing w:after="0" w:line="360" w:lineRule="auto"/>
        <w:ind w:firstLine="709"/>
        <w:jc w:val="both"/>
        <w:rPr>
          <w:rFonts w:ascii="Times New Roman" w:hAnsi="Times New Roman" w:cs="Times New Roman"/>
          <w:sz w:val="28"/>
          <w:szCs w:val="28"/>
          <w:lang w:val="az-Latn-AZ"/>
        </w:rPr>
      </w:pPr>
    </w:p>
    <w:p w14:paraId="0972E63D" w14:textId="77777777" w:rsidR="001F6AF2" w:rsidRDefault="001F6AF2">
      <w:pPr>
        <w:spacing w:after="0" w:line="360" w:lineRule="auto"/>
        <w:ind w:firstLine="709"/>
        <w:jc w:val="both"/>
        <w:rPr>
          <w:rFonts w:ascii="Times New Roman" w:hAnsi="Times New Roman" w:cs="Times New Roman"/>
          <w:sz w:val="28"/>
          <w:szCs w:val="28"/>
          <w:lang w:val="az-Latn-AZ"/>
        </w:rPr>
      </w:pPr>
    </w:p>
    <w:p w14:paraId="17F76DF5" w14:textId="77777777" w:rsidR="001F6AF2" w:rsidRDefault="001F6AF2">
      <w:pPr>
        <w:spacing w:after="0" w:line="360" w:lineRule="auto"/>
        <w:ind w:firstLine="709"/>
        <w:jc w:val="both"/>
        <w:rPr>
          <w:rFonts w:ascii="Times New Roman" w:hAnsi="Times New Roman" w:cs="Times New Roman"/>
          <w:sz w:val="28"/>
          <w:szCs w:val="28"/>
          <w:lang w:val="az-Latn-AZ"/>
        </w:rPr>
      </w:pPr>
    </w:p>
    <w:p w14:paraId="0A420189" w14:textId="77777777" w:rsidR="001F6AF2" w:rsidRDefault="001F6AF2">
      <w:pPr>
        <w:spacing w:after="0" w:line="360" w:lineRule="auto"/>
        <w:ind w:firstLine="709"/>
        <w:jc w:val="both"/>
        <w:rPr>
          <w:rFonts w:ascii="Times New Roman" w:hAnsi="Times New Roman" w:cs="Times New Roman"/>
          <w:sz w:val="28"/>
          <w:szCs w:val="28"/>
          <w:lang w:val="az-Latn-AZ"/>
        </w:rPr>
      </w:pPr>
    </w:p>
    <w:p w14:paraId="21419AB8" w14:textId="77777777" w:rsidR="001F6AF2" w:rsidRDefault="001F6AF2">
      <w:pPr>
        <w:spacing w:after="0" w:line="360" w:lineRule="auto"/>
        <w:ind w:firstLine="709"/>
        <w:jc w:val="both"/>
        <w:rPr>
          <w:rFonts w:ascii="Times New Roman" w:hAnsi="Times New Roman" w:cs="Times New Roman"/>
          <w:sz w:val="28"/>
          <w:szCs w:val="28"/>
          <w:lang w:val="az-Latn-AZ"/>
        </w:rPr>
      </w:pPr>
    </w:p>
    <w:p w14:paraId="6CD9564A" w14:textId="77777777" w:rsidR="001F6AF2" w:rsidRDefault="001F6AF2">
      <w:pPr>
        <w:spacing w:after="0" w:line="360" w:lineRule="auto"/>
        <w:ind w:firstLine="709"/>
        <w:jc w:val="both"/>
        <w:rPr>
          <w:rFonts w:ascii="Times New Roman" w:hAnsi="Times New Roman" w:cs="Times New Roman"/>
          <w:sz w:val="28"/>
          <w:szCs w:val="28"/>
          <w:lang w:val="az-Latn-AZ"/>
        </w:rPr>
      </w:pPr>
    </w:p>
    <w:p w14:paraId="68D03FBA" w14:textId="77777777" w:rsidR="001F6AF2" w:rsidRDefault="001F6AF2">
      <w:pPr>
        <w:spacing w:after="0" w:line="360" w:lineRule="auto"/>
        <w:ind w:firstLine="709"/>
        <w:jc w:val="both"/>
        <w:rPr>
          <w:rFonts w:ascii="Times New Roman" w:hAnsi="Times New Roman" w:cs="Times New Roman"/>
          <w:sz w:val="28"/>
          <w:szCs w:val="28"/>
          <w:lang w:val="az-Latn-AZ"/>
        </w:rPr>
      </w:pPr>
    </w:p>
    <w:p w14:paraId="1829C3AD" w14:textId="77777777" w:rsidR="001F6AF2" w:rsidRDefault="001F6AF2">
      <w:pPr>
        <w:spacing w:after="0" w:line="360" w:lineRule="auto"/>
        <w:ind w:firstLine="709"/>
        <w:jc w:val="both"/>
        <w:rPr>
          <w:rFonts w:ascii="Times New Roman" w:hAnsi="Times New Roman" w:cs="Times New Roman"/>
          <w:sz w:val="28"/>
          <w:szCs w:val="28"/>
          <w:lang w:val="az-Latn-AZ"/>
        </w:rPr>
      </w:pPr>
    </w:p>
    <w:p w14:paraId="1544760D" w14:textId="77777777" w:rsidR="001F6AF2" w:rsidRDefault="001F6AF2">
      <w:pPr>
        <w:spacing w:after="0" w:line="360" w:lineRule="auto"/>
        <w:ind w:firstLine="709"/>
        <w:jc w:val="both"/>
        <w:rPr>
          <w:rFonts w:ascii="Times New Roman" w:hAnsi="Times New Roman" w:cs="Times New Roman"/>
          <w:sz w:val="28"/>
          <w:szCs w:val="28"/>
          <w:lang w:val="az-Latn-AZ"/>
        </w:rPr>
      </w:pPr>
    </w:p>
    <w:p w14:paraId="7E719F05" w14:textId="77777777" w:rsidR="001F6AF2" w:rsidRDefault="001F6AF2">
      <w:pPr>
        <w:spacing w:after="0" w:line="360" w:lineRule="auto"/>
        <w:ind w:firstLine="709"/>
        <w:jc w:val="both"/>
        <w:rPr>
          <w:rFonts w:ascii="Times New Roman" w:hAnsi="Times New Roman" w:cs="Times New Roman"/>
          <w:sz w:val="28"/>
          <w:szCs w:val="28"/>
          <w:lang w:val="az-Latn-AZ"/>
        </w:rPr>
      </w:pPr>
    </w:p>
    <w:p w14:paraId="67EE7BE6" w14:textId="77777777" w:rsidR="001F6AF2" w:rsidRDefault="001F6AF2">
      <w:pPr>
        <w:spacing w:after="0" w:line="360" w:lineRule="auto"/>
        <w:ind w:firstLine="709"/>
        <w:jc w:val="both"/>
        <w:rPr>
          <w:rFonts w:ascii="Times New Roman" w:hAnsi="Times New Roman" w:cs="Times New Roman"/>
          <w:sz w:val="28"/>
          <w:szCs w:val="28"/>
          <w:lang w:val="az-Latn-AZ"/>
        </w:rPr>
      </w:pPr>
    </w:p>
    <w:p w14:paraId="431414C6" w14:textId="77777777" w:rsidR="001F6AF2" w:rsidRDefault="001F6AF2">
      <w:pPr>
        <w:spacing w:after="0" w:line="360" w:lineRule="auto"/>
        <w:jc w:val="both"/>
        <w:rPr>
          <w:rFonts w:ascii="Times New Roman" w:hAnsi="Times New Roman" w:cs="Times New Roman"/>
          <w:sz w:val="28"/>
          <w:szCs w:val="28"/>
          <w:lang w:val="az-Latn-AZ"/>
        </w:rPr>
      </w:pPr>
    </w:p>
    <w:p w14:paraId="746DD12F" w14:textId="77777777" w:rsidR="001F6AF2" w:rsidRDefault="001F6AF2">
      <w:pPr>
        <w:spacing w:after="0" w:line="360" w:lineRule="auto"/>
        <w:jc w:val="both"/>
        <w:rPr>
          <w:rFonts w:ascii="Times New Roman" w:hAnsi="Times New Roman" w:cs="Times New Roman"/>
          <w:sz w:val="28"/>
          <w:szCs w:val="28"/>
          <w:lang w:val="az-Latn-AZ"/>
        </w:rPr>
      </w:pPr>
    </w:p>
    <w:p w14:paraId="33FEEF70" w14:textId="77777777" w:rsidR="001F6AF2" w:rsidRDefault="00000000">
      <w:pPr>
        <w:pStyle w:val="Heading1"/>
        <w:jc w:val="center"/>
        <w:rPr>
          <w:rFonts w:ascii="Times New Roman" w:hAnsi="Times New Roman" w:cs="Times New Roman"/>
          <w:b/>
          <w:bCs/>
          <w:color w:val="auto"/>
          <w:sz w:val="28"/>
          <w:szCs w:val="28"/>
          <w:lang w:val="az-Latn-AZ"/>
        </w:rPr>
      </w:pPr>
      <w:bookmarkStart w:id="3" w:name="_Hlk219151291"/>
      <w:r>
        <w:rPr>
          <w:rFonts w:ascii="Times New Roman" w:hAnsi="Times New Roman" w:cs="Times New Roman"/>
          <w:b/>
          <w:bCs/>
          <w:color w:val="auto"/>
          <w:sz w:val="28"/>
          <w:szCs w:val="28"/>
          <w:lang w:val="az-Latn-AZ"/>
        </w:rPr>
        <w:t>İSTİFADƏ OLUNMUŞ ƏDƏBİYYAT SİYAHISI</w:t>
      </w:r>
    </w:p>
    <w:p w14:paraId="56345CCD" w14:textId="77777777" w:rsidR="001F6AF2" w:rsidRDefault="00000000">
      <w:pPr>
        <w:tabs>
          <w:tab w:val="left" w:pos="567"/>
        </w:tabs>
        <w:spacing w:after="0" w:line="360" w:lineRule="auto"/>
        <w:jc w:val="center"/>
        <w:rPr>
          <w:rFonts w:ascii="Times New Roman" w:hAnsi="Times New Roman" w:cs="Times New Roman"/>
          <w:b/>
          <w:i/>
          <w:iCs/>
          <w:sz w:val="28"/>
          <w:szCs w:val="28"/>
          <w:lang w:val="az-Latn-AZ"/>
        </w:rPr>
      </w:pPr>
      <w:r>
        <w:rPr>
          <w:rFonts w:ascii="Times New Roman" w:hAnsi="Times New Roman" w:cs="Times New Roman"/>
          <w:b/>
          <w:i/>
          <w:iCs/>
          <w:sz w:val="28"/>
          <w:szCs w:val="28"/>
          <w:lang w:val="az-Latn-AZ"/>
        </w:rPr>
        <w:t>Azərbaycan dilində</w:t>
      </w:r>
    </w:p>
    <w:p w14:paraId="31D8F865"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28"/>
          <w:lang w:val="tr-TR"/>
        </w:rPr>
        <w:t>“Asan İmza” və digər rəqəmsal identifikasiya vasitələrinin gömrük xidmətlərinə inteqrasiyası üzrə məlumat. Elektron Hökumət portalı, Bakı, 2024. (</w:t>
      </w:r>
      <w:r>
        <w:fldChar w:fldCharType="begin"/>
      </w:r>
      <w:r>
        <w:instrText xml:space="preserve"> HYPERLINK "https://www.e-gov.az" </w:instrText>
      </w:r>
      <w:r>
        <w:fldChar w:fldCharType="separate"/>
      </w:r>
      <w:r>
        <w:rPr>
          <w:rStyle w:val="Hyperlink"/>
          <w:rFonts w:ascii="Times New Roman" w:hAnsi="Times New Roman" w:cs="Times New Roman"/>
          <w:sz w:val="28"/>
          <w:szCs w:val="28"/>
          <w:lang w:val="tr-TR"/>
        </w:rPr>
        <w:t>https://www.e-gov.az</w:t>
      </w:r>
      <w:r>
        <w:rPr>
          <w:rStyle w:val="Hyperlink"/>
          <w:rFonts w:ascii="Times New Roman" w:hAnsi="Times New Roman" w:cs="Times New Roman"/>
          <w:sz w:val="28"/>
          <w:szCs w:val="28"/>
          <w:lang w:val="tr-TR"/>
        </w:rPr>
        <w:fldChar w:fldCharType="end"/>
      </w:r>
      <w:r>
        <w:rPr>
          <w:rFonts w:ascii="Times New Roman" w:hAnsi="Times New Roman" w:cs="Times New Roman"/>
          <w:sz w:val="28"/>
          <w:szCs w:val="28"/>
          <w:lang w:val="tr-TR"/>
        </w:rPr>
        <w:t>).</w:t>
      </w:r>
    </w:p>
    <w:p w14:paraId="6BBDFEF3"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28"/>
          <w:lang w:val="tr-TR"/>
        </w:rPr>
        <w:t>“Azərbaycan Respublikasının Dövlət Gömrük Komitəsi haqqında Əsasnamə” (AR Prezidentinin 4 iyun 2012‑ci il tarixli Fərmanı ilə təsdiq edilmişdir). Bakı: Prezident Administrasiyası, 2012.</w:t>
      </w:r>
    </w:p>
    <w:p w14:paraId="72EA9C52"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28"/>
          <w:lang w:val="tr-TR"/>
        </w:rPr>
        <w:t>Ağaverdiyeva S. “Azərbaycan respublikasının xarici siyasəti və ölkənin avropa məkanına inteqrasiyası”, Bakı, “Qanun Nəşriyyatı”, 2013, 289 səh..</w:t>
      </w:r>
    </w:p>
    <w:p w14:paraId="2D7BF34C"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28"/>
          <w:lang w:val="tr-TR"/>
        </w:rPr>
        <w:t>Azərbaycan Respublikası Dövlət Gömrük Komitəsi. Rəsmi sayt – Normativ hüquqi aktlar, elektron gömrük və “vahid pəncərə” sistemi üzrə məlumat bazası. Bakı, 2024. (https://customs.gov.az).[1]</w:t>
      </w:r>
    </w:p>
    <w:p w14:paraId="073167AE"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28"/>
          <w:lang w:val="tr-TR"/>
        </w:rPr>
        <w:t>Azərbaycan Respublikasının Gömrük Məcəlləsi. Bakı: Qanunvericilik toplusu, 2011 (son dəyişikliklərlə).</w:t>
      </w:r>
    </w:p>
    <w:p w14:paraId="0D63331D"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28"/>
          <w:lang w:val="tr-TR"/>
        </w:rPr>
        <w:t>Azərbaycan və Ümumdünya Ticarət Təşkilatı. Ticarətin asanlaşdırılması üzrə milli öhdəliklər və tədbirlər toplusu. Bakı: WTO Milli İnformasiya Mərkəzi, 2018.</w:t>
      </w:r>
    </w:p>
    <w:p w14:paraId="31AC9C27"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28"/>
          <w:lang w:val="tr-TR"/>
        </w:rPr>
        <w:t xml:space="preserve"> Əhmədov M.A., Hüseyn A.C. “Dünya iqtisadiyyatının tənzimlənməsinin əsasları”, Bakı, “İqtisad Universiteti nəşri”, 2011, 120 səh.</w:t>
      </w:r>
    </w:p>
    <w:p w14:paraId="45EF5BFC"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28"/>
          <w:lang w:val="tr-TR"/>
        </w:rPr>
        <w:t>EU4Digital Initiative. “Sərhəddə gözləmə müddətlərinin azaldılması üçün gömrük məlumat mübadiləsi həlləri: Azərbaycan təcrübəsi”. Vilnüs: EU4Digital, 2020.</w:t>
      </w:r>
    </w:p>
    <w:p w14:paraId="0AA8A7E5"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36"/>
          <w:lang w:val="tr-TR"/>
        </w:rPr>
        <w:t>Heydərov K.F. “Gömrük işinin əsasları”, Bakı, “Azərbaycan nəşri”, 2012, 364 səh.</w:t>
      </w:r>
    </w:p>
    <w:p w14:paraId="033DAB66" w14:textId="77777777" w:rsidR="001F6AF2" w:rsidRDefault="00000000">
      <w:pPr>
        <w:pStyle w:val="ListParagraph"/>
        <w:numPr>
          <w:ilvl w:val="0"/>
          <w:numId w:val="2"/>
        </w:numPr>
        <w:tabs>
          <w:tab w:val="left" w:pos="851"/>
          <w:tab w:val="left" w:pos="1276"/>
        </w:tabs>
        <w:spacing w:after="0" w:line="360" w:lineRule="auto"/>
        <w:ind w:left="340" w:hanging="340"/>
        <w:jc w:val="both"/>
        <w:rPr>
          <w:rFonts w:ascii="Times New Roman" w:hAnsi="Times New Roman" w:cs="Times New Roman"/>
          <w:sz w:val="28"/>
          <w:szCs w:val="28"/>
          <w:lang w:val="tr-TR"/>
        </w:rPr>
      </w:pPr>
      <w:r>
        <w:rPr>
          <w:rFonts w:ascii="Times New Roman" w:hAnsi="Times New Roman" w:cs="Times New Roman"/>
          <w:sz w:val="28"/>
          <w:szCs w:val="28"/>
          <w:lang w:val="tr-TR"/>
        </w:rPr>
        <w:t xml:space="preserve"> Hüseynova X.M. “Azərbaycanın dünya iqtisadiyyatında yerinin idarə olunması problemləri”, Bakı, “Azərnəşr nəşriyyatı”, 2018, 388 səh.</w:t>
      </w:r>
    </w:p>
    <w:p w14:paraId="6FE52C29" w14:textId="77777777" w:rsidR="001F6AF2" w:rsidRDefault="00000000">
      <w:pPr>
        <w:pStyle w:val="ListParagraph"/>
        <w:tabs>
          <w:tab w:val="left" w:pos="851"/>
          <w:tab w:val="left" w:pos="1276"/>
        </w:tabs>
        <w:spacing w:after="0" w:line="360" w:lineRule="auto"/>
        <w:jc w:val="center"/>
        <w:rPr>
          <w:rFonts w:ascii="Times New Roman" w:hAnsi="Times New Roman" w:cs="Times New Roman"/>
          <w:b/>
          <w:bCs/>
          <w:i/>
          <w:iCs/>
          <w:sz w:val="28"/>
          <w:szCs w:val="28"/>
          <w:lang w:val="tr-TR"/>
        </w:rPr>
      </w:pPr>
      <w:r>
        <w:rPr>
          <w:rFonts w:ascii="Times New Roman" w:hAnsi="Times New Roman" w:cs="Times New Roman"/>
          <w:b/>
          <w:bCs/>
          <w:i/>
          <w:iCs/>
          <w:sz w:val="28"/>
          <w:szCs w:val="28"/>
          <w:lang w:val="tr-TR"/>
        </w:rPr>
        <w:t>İngilis dilində</w:t>
      </w:r>
    </w:p>
    <w:p w14:paraId="45DC255F"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r>
        <w:rPr>
          <w:rFonts w:ascii="Times New Roman" w:hAnsi="Times New Roman" w:cs="Times New Roman"/>
          <w:sz w:val="28"/>
          <w:szCs w:val="28"/>
          <w:lang w:val="az-Latn-AZ"/>
        </w:rPr>
        <w:t>​</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Organization</w:t>
      </w:r>
      <w:proofErr w:type="spellEnd"/>
      <w:r>
        <w:rPr>
          <w:rFonts w:ascii="Times New Roman" w:hAnsi="Times New Roman" w:cs="Times New Roman"/>
          <w:sz w:val="28"/>
          <w:szCs w:val="28"/>
          <w:lang w:val="az-Latn-AZ"/>
        </w:rPr>
        <w:t xml:space="preserve"> (WCO). WTO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Facilitation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Agreement</w:t>
      </w:r>
      <w:proofErr w:type="spellEnd"/>
      <w:r>
        <w:rPr>
          <w:rFonts w:ascii="Times New Roman" w:hAnsi="Times New Roman" w:cs="Times New Roman"/>
          <w:sz w:val="28"/>
          <w:szCs w:val="28"/>
          <w:lang w:val="az-Latn-AZ"/>
        </w:rPr>
        <w:t xml:space="preserve"> – </w:t>
      </w:r>
      <w:proofErr w:type="spellStart"/>
      <w:r>
        <w:rPr>
          <w:rFonts w:ascii="Times New Roman" w:hAnsi="Times New Roman" w:cs="Times New Roman"/>
          <w:sz w:val="28"/>
          <w:szCs w:val="28"/>
          <w:lang w:val="az-Latn-AZ"/>
        </w:rPr>
        <w:t>Article</w:t>
      </w:r>
      <w:proofErr w:type="spellEnd"/>
      <w:r>
        <w:rPr>
          <w:rFonts w:ascii="Times New Roman" w:hAnsi="Times New Roman" w:cs="Times New Roman"/>
          <w:sz w:val="28"/>
          <w:szCs w:val="28"/>
          <w:lang w:val="az-Latn-AZ"/>
        </w:rPr>
        <w:t xml:space="preserve"> 10.4 </w:t>
      </w:r>
      <w:proofErr w:type="spellStart"/>
      <w:r>
        <w:rPr>
          <w:rFonts w:ascii="Times New Roman" w:hAnsi="Times New Roman" w:cs="Times New Roman"/>
          <w:sz w:val="28"/>
          <w:szCs w:val="28"/>
          <w:lang w:val="az-Latn-AZ"/>
        </w:rPr>
        <w:t>implementation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Case</w:t>
      </w:r>
      <w:proofErr w:type="spellEnd"/>
      <w:r>
        <w:rPr>
          <w:rFonts w:ascii="Times New Roman" w:hAnsi="Times New Roman" w:cs="Times New Roman"/>
          <w:sz w:val="28"/>
          <w:szCs w:val="28"/>
          <w:lang w:val="az-Latn-AZ"/>
        </w:rPr>
        <w:t xml:space="preserve"> of </w:t>
      </w:r>
      <w:proofErr w:type="spellStart"/>
      <w:r>
        <w:rPr>
          <w:rFonts w:ascii="Times New Roman" w:hAnsi="Times New Roman" w:cs="Times New Roman"/>
          <w:sz w:val="28"/>
          <w:szCs w:val="28"/>
          <w:lang w:val="az-Latn-AZ"/>
        </w:rPr>
        <w:t>Azerbaijan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Brussels</w:t>
      </w:r>
      <w:proofErr w:type="spellEnd"/>
      <w:r>
        <w:rPr>
          <w:rFonts w:ascii="Times New Roman" w:hAnsi="Times New Roman" w:cs="Times New Roman"/>
          <w:sz w:val="28"/>
          <w:szCs w:val="28"/>
          <w:lang w:val="az-Latn-AZ"/>
        </w:rPr>
        <w:t xml:space="preserve">: WCO </w:t>
      </w:r>
      <w:proofErr w:type="spellStart"/>
      <w:r>
        <w:rPr>
          <w:rFonts w:ascii="Times New Roman" w:hAnsi="Times New Roman" w:cs="Times New Roman"/>
          <w:sz w:val="28"/>
          <w:szCs w:val="28"/>
          <w:lang w:val="az-Latn-AZ"/>
        </w:rPr>
        <w:t>Publications</w:t>
      </w:r>
      <w:proofErr w:type="spellEnd"/>
      <w:r>
        <w:rPr>
          <w:rFonts w:ascii="Times New Roman" w:hAnsi="Times New Roman" w:cs="Times New Roman"/>
          <w:sz w:val="28"/>
          <w:szCs w:val="28"/>
          <w:lang w:val="az-Latn-AZ"/>
        </w:rPr>
        <w:t>, 2018.</w:t>
      </w:r>
    </w:p>
    <w:p w14:paraId="29927D76"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Asian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Development</w:t>
      </w:r>
      <w:proofErr w:type="spellEnd"/>
      <w:r>
        <w:rPr>
          <w:rFonts w:ascii="Times New Roman" w:hAnsi="Times New Roman" w:cs="Times New Roman"/>
          <w:sz w:val="28"/>
          <w:szCs w:val="28"/>
          <w:lang w:val="az-Latn-AZ"/>
        </w:rPr>
        <w:t xml:space="preserve"> Bank </w:t>
      </w:r>
      <w:proofErr w:type="spellStart"/>
      <w:r>
        <w:rPr>
          <w:rFonts w:ascii="Times New Roman" w:hAnsi="Times New Roman" w:cs="Times New Roman"/>
          <w:sz w:val="28"/>
          <w:szCs w:val="28"/>
          <w:lang w:val="az-Latn-AZ"/>
        </w:rPr>
        <w:t>Institute</w:t>
      </w:r>
      <w:proofErr w:type="spellEnd"/>
      <w:r>
        <w:rPr>
          <w:rFonts w:ascii="Times New Roman" w:hAnsi="Times New Roman" w:cs="Times New Roman"/>
          <w:sz w:val="28"/>
          <w:szCs w:val="28"/>
          <w:lang w:val="az-Latn-AZ"/>
        </w:rPr>
        <w:t xml:space="preserve"> (ADBI) (2020).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Impact</w:t>
      </w:r>
      <w:proofErr w:type="spellEnd"/>
      <w:r>
        <w:rPr>
          <w:rFonts w:ascii="Times New Roman" w:hAnsi="Times New Roman" w:cs="Times New Roman"/>
          <w:sz w:val="28"/>
          <w:szCs w:val="28"/>
          <w:lang w:val="az-Latn-AZ"/>
        </w:rPr>
        <w:t xml:space="preserve"> of </w:t>
      </w:r>
      <w:proofErr w:type="spellStart"/>
      <w:r>
        <w:rPr>
          <w:rFonts w:ascii="Times New Roman" w:hAnsi="Times New Roman" w:cs="Times New Roman"/>
          <w:sz w:val="28"/>
          <w:szCs w:val="28"/>
          <w:lang w:val="az-Latn-AZ"/>
        </w:rPr>
        <w:t>Reducing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Time</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Costs</w:t>
      </w:r>
      <w:proofErr w:type="spellEnd"/>
      <w:r>
        <w:rPr>
          <w:rFonts w:ascii="Times New Roman" w:hAnsi="Times New Roman" w:cs="Times New Roman"/>
          <w:sz w:val="28"/>
          <w:szCs w:val="28"/>
          <w:lang w:val="az-Latn-AZ"/>
        </w:rPr>
        <w:t xml:space="preserve"> at </w:t>
      </w:r>
      <w:proofErr w:type="spellStart"/>
      <w:r>
        <w:rPr>
          <w:rFonts w:ascii="Times New Roman" w:hAnsi="Times New Roman" w:cs="Times New Roman"/>
          <w:sz w:val="28"/>
          <w:szCs w:val="28"/>
          <w:lang w:val="az-Latn-AZ"/>
        </w:rPr>
        <w:t>Borders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Central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Asia</w:t>
      </w:r>
      <w:proofErr w:type="spellEnd"/>
      <w:r>
        <w:rPr>
          <w:rFonts w:ascii="Times New Roman" w:hAnsi="Times New Roman" w:cs="Times New Roman"/>
          <w:sz w:val="28"/>
          <w:szCs w:val="28"/>
          <w:lang w:val="az-Latn-AZ"/>
        </w:rPr>
        <w:t xml:space="preserve"> Regional </w:t>
      </w:r>
      <w:proofErr w:type="spellStart"/>
      <w:r>
        <w:rPr>
          <w:rFonts w:ascii="Times New Roman" w:hAnsi="Times New Roman" w:cs="Times New Roman"/>
          <w:sz w:val="28"/>
          <w:szCs w:val="28"/>
          <w:lang w:val="az-Latn-AZ"/>
        </w:rPr>
        <w:t>Economic</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Cooperation</w:t>
      </w:r>
      <w:proofErr w:type="spellEnd"/>
      <w:r>
        <w:rPr>
          <w:rFonts w:ascii="Times New Roman" w:hAnsi="Times New Roman" w:cs="Times New Roman"/>
          <w:sz w:val="28"/>
          <w:szCs w:val="28"/>
          <w:lang w:val="az-Latn-AZ"/>
        </w:rPr>
        <w:t xml:space="preserve"> Region (ADBI </w:t>
      </w:r>
      <w:proofErr w:type="spellStart"/>
      <w:r>
        <w:rPr>
          <w:rFonts w:ascii="Times New Roman" w:hAnsi="Times New Roman" w:cs="Times New Roman"/>
          <w:sz w:val="28"/>
          <w:szCs w:val="28"/>
          <w:lang w:val="az-Latn-AZ"/>
        </w:rPr>
        <w:t>Working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Paper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No</w:t>
      </w:r>
      <w:proofErr w:type="spellEnd"/>
      <w:r>
        <w:rPr>
          <w:rFonts w:ascii="Times New Roman" w:hAnsi="Times New Roman" w:cs="Times New Roman"/>
          <w:sz w:val="28"/>
          <w:szCs w:val="28"/>
          <w:lang w:val="az-Latn-AZ"/>
        </w:rPr>
        <w:t xml:space="preserve">. 1106). </w:t>
      </w:r>
      <w:proofErr w:type="spellStart"/>
      <w:r>
        <w:rPr>
          <w:rFonts w:ascii="Times New Roman" w:hAnsi="Times New Roman" w:cs="Times New Roman"/>
          <w:sz w:val="28"/>
          <w:szCs w:val="28"/>
          <w:lang w:val="az-Latn-AZ"/>
        </w:rPr>
        <w:t>Tokyo</w:t>
      </w:r>
      <w:proofErr w:type="spellEnd"/>
      <w:r>
        <w:rPr>
          <w:rFonts w:ascii="Times New Roman" w:hAnsi="Times New Roman" w:cs="Times New Roman"/>
          <w:sz w:val="28"/>
          <w:szCs w:val="28"/>
          <w:lang w:val="az-Latn-AZ"/>
        </w:rPr>
        <w:t>: ADBI.</w:t>
      </w:r>
    </w:p>
    <w:p w14:paraId="73E3EA6F"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Azerbaijan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Republic</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State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Committee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n.d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Information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for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Travelers</w:t>
      </w:r>
      <w:proofErr w:type="spellEnd"/>
      <w:r>
        <w:rPr>
          <w:rFonts w:ascii="Times New Roman" w:hAnsi="Times New Roman" w:cs="Times New Roman"/>
          <w:sz w:val="28"/>
          <w:szCs w:val="28"/>
          <w:lang w:val="az-Latn-AZ"/>
        </w:rPr>
        <w:t>. Bakı: Dövlət Gömrük Komitəsi.</w:t>
      </w:r>
    </w:p>
    <w:p w14:paraId="09A5AAF9"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Bade</w:t>
      </w:r>
      <w:proofErr w:type="spellEnd"/>
      <w:r>
        <w:rPr>
          <w:rFonts w:ascii="Times New Roman" w:hAnsi="Times New Roman" w:cs="Times New Roman"/>
          <w:sz w:val="28"/>
          <w:szCs w:val="28"/>
          <w:lang w:val="az-Latn-AZ"/>
        </w:rPr>
        <w:t xml:space="preserve"> D.L. “</w:t>
      </w:r>
      <w:proofErr w:type="spellStart"/>
      <w:r>
        <w:rPr>
          <w:rFonts w:ascii="Times New Roman" w:hAnsi="Times New Roman" w:cs="Times New Roman"/>
          <w:sz w:val="28"/>
          <w:szCs w:val="28"/>
          <w:lang w:val="az-Latn-AZ"/>
        </w:rPr>
        <w:t>Export</w:t>
      </w:r>
      <w:proofErr w:type="spellEnd"/>
      <w:r>
        <w:rPr>
          <w:rFonts w:ascii="Times New Roman" w:hAnsi="Times New Roman" w:cs="Times New Roman"/>
          <w:sz w:val="28"/>
          <w:szCs w:val="28"/>
          <w:lang w:val="az-Latn-AZ"/>
        </w:rPr>
        <w:t xml:space="preserve">/Import </w:t>
      </w:r>
      <w:proofErr w:type="spellStart"/>
      <w:r>
        <w:rPr>
          <w:rFonts w:ascii="Times New Roman" w:hAnsi="Times New Roman" w:cs="Times New Roman"/>
          <w:sz w:val="28"/>
          <w:szCs w:val="28"/>
          <w:lang w:val="az-Latn-AZ"/>
        </w:rPr>
        <w:t>Procedures</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Documentation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Second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Edition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New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York</w:t>
      </w:r>
      <w:proofErr w:type="spellEnd"/>
      <w:r>
        <w:rPr>
          <w:rFonts w:ascii="Times New Roman" w:hAnsi="Times New Roman" w:cs="Times New Roman"/>
          <w:sz w:val="28"/>
          <w:szCs w:val="28"/>
          <w:lang w:val="az-Latn-AZ"/>
        </w:rPr>
        <w:t>, “AMACOM”, 2010, 464 p.</w:t>
      </w:r>
    </w:p>
    <w:p w14:paraId="339CD5AB"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Bhala</w:t>
      </w:r>
      <w:proofErr w:type="spellEnd"/>
      <w:r>
        <w:rPr>
          <w:rFonts w:ascii="Times New Roman" w:hAnsi="Times New Roman" w:cs="Times New Roman"/>
          <w:sz w:val="28"/>
          <w:szCs w:val="28"/>
          <w:lang w:val="az-Latn-AZ"/>
        </w:rPr>
        <w:t xml:space="preserve"> R.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A </w:t>
      </w:r>
      <w:proofErr w:type="spellStart"/>
      <w:r>
        <w:rPr>
          <w:rFonts w:ascii="Times New Roman" w:hAnsi="Times New Roman" w:cs="Times New Roman"/>
          <w:sz w:val="28"/>
          <w:szCs w:val="28"/>
          <w:lang w:val="az-Latn-AZ"/>
        </w:rPr>
        <w:t>Comprehensive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Textbook</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Volume</w:t>
      </w:r>
      <w:proofErr w:type="spellEnd"/>
      <w:r>
        <w:rPr>
          <w:rFonts w:ascii="Times New Roman" w:hAnsi="Times New Roman" w:cs="Times New Roman"/>
          <w:sz w:val="28"/>
          <w:szCs w:val="28"/>
          <w:lang w:val="az-Latn-AZ"/>
        </w:rPr>
        <w:t xml:space="preserve"> 2: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Security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Durham</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Carolina</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Academic</w:t>
      </w:r>
      <w:proofErr w:type="spellEnd"/>
      <w:r>
        <w:rPr>
          <w:rFonts w:ascii="Times New Roman" w:hAnsi="Times New Roman" w:cs="Times New Roman"/>
          <w:sz w:val="28"/>
          <w:szCs w:val="28"/>
          <w:lang w:val="az-Latn-AZ"/>
        </w:rPr>
        <w:t xml:space="preserve"> Press”, 2021, 800 p.</w:t>
      </w:r>
    </w:p>
    <w:p w14:paraId="22BDD857"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Bhala</w:t>
      </w:r>
      <w:proofErr w:type="spellEnd"/>
      <w:r>
        <w:rPr>
          <w:rFonts w:ascii="Times New Roman" w:hAnsi="Times New Roman" w:cs="Times New Roman"/>
          <w:sz w:val="28"/>
          <w:szCs w:val="28"/>
          <w:lang w:val="az-Latn-AZ"/>
        </w:rPr>
        <w:t xml:space="preserve"> R.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Interdependence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Decision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Making</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Compliance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Durham</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Carolina</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Academic</w:t>
      </w:r>
      <w:proofErr w:type="spellEnd"/>
      <w:r>
        <w:rPr>
          <w:rFonts w:ascii="Times New Roman" w:hAnsi="Times New Roman" w:cs="Times New Roman"/>
          <w:sz w:val="28"/>
          <w:szCs w:val="28"/>
          <w:lang w:val="az-Latn-AZ"/>
        </w:rPr>
        <w:t xml:space="preserve"> Press”, 2022, 900 p.</w:t>
      </w:r>
    </w:p>
    <w:p w14:paraId="68214590"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Biddulph</w:t>
      </w:r>
      <w:proofErr w:type="spellEnd"/>
      <w:r>
        <w:rPr>
          <w:rFonts w:ascii="Times New Roman" w:hAnsi="Times New Roman" w:cs="Times New Roman"/>
          <w:sz w:val="28"/>
          <w:szCs w:val="28"/>
          <w:lang w:val="az-Latn-AZ"/>
        </w:rPr>
        <w:t xml:space="preserve"> M. “</w:t>
      </w:r>
      <w:proofErr w:type="spellStart"/>
      <w:r>
        <w:rPr>
          <w:rFonts w:ascii="Times New Roman" w:hAnsi="Times New Roman" w:cs="Times New Roman"/>
          <w:sz w:val="28"/>
          <w:szCs w:val="28"/>
          <w:lang w:val="az-Latn-AZ"/>
        </w:rPr>
        <w:t>Empire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Careers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Working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for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Chinese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Service</w:t>
      </w:r>
      <w:proofErr w:type="spellEnd"/>
      <w:r>
        <w:rPr>
          <w:rFonts w:ascii="Times New Roman" w:hAnsi="Times New Roman" w:cs="Times New Roman"/>
          <w:sz w:val="28"/>
          <w:szCs w:val="28"/>
          <w:lang w:val="az-Latn-AZ"/>
        </w:rPr>
        <w:t xml:space="preserve">, 1854–1949”, </w:t>
      </w:r>
      <w:proofErr w:type="spellStart"/>
      <w:r>
        <w:rPr>
          <w:rFonts w:ascii="Times New Roman" w:hAnsi="Times New Roman" w:cs="Times New Roman"/>
          <w:sz w:val="28"/>
          <w:szCs w:val="28"/>
          <w:lang w:val="az-Latn-AZ"/>
        </w:rPr>
        <w:t>Manchester</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Manchester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University</w:t>
      </w:r>
      <w:proofErr w:type="spellEnd"/>
      <w:r>
        <w:rPr>
          <w:rFonts w:ascii="Times New Roman" w:hAnsi="Times New Roman" w:cs="Times New Roman"/>
          <w:sz w:val="28"/>
          <w:szCs w:val="28"/>
          <w:lang w:val="az-Latn-AZ"/>
        </w:rPr>
        <w:t xml:space="preserve"> Press”, 2013, 280 p.</w:t>
      </w:r>
    </w:p>
    <w:p w14:paraId="5F769BD9"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Boucher</w:t>
      </w:r>
      <w:proofErr w:type="spellEnd"/>
      <w:r>
        <w:rPr>
          <w:rFonts w:ascii="Times New Roman" w:hAnsi="Times New Roman" w:cs="Times New Roman"/>
          <w:sz w:val="28"/>
          <w:szCs w:val="28"/>
          <w:lang w:val="az-Latn-AZ"/>
        </w:rPr>
        <w:t xml:space="preserve"> A. “</w:t>
      </w:r>
      <w:proofErr w:type="spellStart"/>
      <w:r>
        <w:rPr>
          <w:rFonts w:ascii="Times New Roman" w:hAnsi="Times New Roman" w:cs="Times New Roman"/>
          <w:sz w:val="28"/>
          <w:szCs w:val="28"/>
          <w:lang w:val="az-Latn-AZ"/>
        </w:rPr>
        <w:t>Introduction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to</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Administration</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Procedures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Second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Edition</w:t>
      </w:r>
      <w:proofErr w:type="spellEnd"/>
      <w:r>
        <w:rPr>
          <w:rFonts w:ascii="Times New Roman" w:hAnsi="Times New Roman" w:cs="Times New Roman"/>
          <w:sz w:val="28"/>
          <w:szCs w:val="28"/>
          <w:lang w:val="az-Latn-AZ"/>
        </w:rPr>
        <w:t>”, Toronto, “</w:t>
      </w:r>
      <w:proofErr w:type="spellStart"/>
      <w:r>
        <w:rPr>
          <w:rFonts w:ascii="Times New Roman" w:hAnsi="Times New Roman" w:cs="Times New Roman"/>
          <w:sz w:val="28"/>
          <w:szCs w:val="28"/>
          <w:lang w:val="az-Latn-AZ"/>
        </w:rPr>
        <w:t>Emond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Publishing</w:t>
      </w:r>
      <w:proofErr w:type="spellEnd"/>
      <w:r>
        <w:rPr>
          <w:rFonts w:ascii="Times New Roman" w:hAnsi="Times New Roman" w:cs="Times New Roman"/>
          <w:sz w:val="28"/>
          <w:szCs w:val="28"/>
          <w:lang w:val="az-Latn-AZ"/>
        </w:rPr>
        <w:t>”, 2019, 300 p.</w:t>
      </w:r>
    </w:p>
    <w:p w14:paraId="6445BB4E"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CAREC </w:t>
      </w:r>
      <w:proofErr w:type="spellStart"/>
      <w:r>
        <w:rPr>
          <w:rFonts w:ascii="Times New Roman" w:hAnsi="Times New Roman" w:cs="Times New Roman"/>
          <w:sz w:val="28"/>
          <w:szCs w:val="28"/>
          <w:lang w:val="az-Latn-AZ"/>
        </w:rPr>
        <w:t>Program</w:t>
      </w:r>
      <w:proofErr w:type="spellEnd"/>
      <w:r>
        <w:rPr>
          <w:rFonts w:ascii="Times New Roman" w:hAnsi="Times New Roman" w:cs="Times New Roman"/>
          <w:sz w:val="28"/>
          <w:szCs w:val="28"/>
          <w:lang w:val="az-Latn-AZ"/>
        </w:rPr>
        <w:t xml:space="preserve"> (2023). </w:t>
      </w:r>
      <w:proofErr w:type="spellStart"/>
      <w:r>
        <w:rPr>
          <w:rFonts w:ascii="Times New Roman" w:hAnsi="Times New Roman" w:cs="Times New Roman"/>
          <w:sz w:val="28"/>
          <w:szCs w:val="28"/>
          <w:lang w:val="az-Latn-AZ"/>
        </w:rPr>
        <w:t>Azerbaijan</w:t>
      </w:r>
      <w:proofErr w:type="spellEnd"/>
      <w:r>
        <w:rPr>
          <w:rFonts w:ascii="Times New Roman" w:hAnsi="Times New Roman" w:cs="Times New Roman"/>
          <w:sz w:val="28"/>
          <w:szCs w:val="28"/>
          <w:lang w:val="az-Latn-AZ"/>
        </w:rPr>
        <w:t xml:space="preserve"> – </w:t>
      </w:r>
      <w:proofErr w:type="spellStart"/>
      <w:r>
        <w:rPr>
          <w:rFonts w:ascii="Times New Roman" w:hAnsi="Times New Roman" w:cs="Times New Roman"/>
          <w:sz w:val="28"/>
          <w:szCs w:val="28"/>
          <w:lang w:val="az-Latn-AZ"/>
        </w:rPr>
        <w:t>Corridor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Performance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Measurement</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Monitoring</w:t>
      </w:r>
      <w:proofErr w:type="spellEnd"/>
      <w:r>
        <w:rPr>
          <w:rFonts w:ascii="Times New Roman" w:hAnsi="Times New Roman" w:cs="Times New Roman"/>
          <w:sz w:val="28"/>
          <w:szCs w:val="28"/>
          <w:lang w:val="az-Latn-AZ"/>
        </w:rPr>
        <w:t xml:space="preserve"> (CPMM) </w:t>
      </w:r>
      <w:proofErr w:type="spellStart"/>
      <w:r>
        <w:rPr>
          <w:rFonts w:ascii="Times New Roman" w:hAnsi="Times New Roman" w:cs="Times New Roman"/>
          <w:sz w:val="28"/>
          <w:szCs w:val="28"/>
          <w:lang w:val="az-Latn-AZ"/>
        </w:rPr>
        <w:t>Country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Brief</w:t>
      </w:r>
      <w:proofErr w:type="spellEnd"/>
      <w:r>
        <w:rPr>
          <w:rFonts w:ascii="Times New Roman" w:hAnsi="Times New Roman" w:cs="Times New Roman"/>
          <w:sz w:val="28"/>
          <w:szCs w:val="28"/>
          <w:lang w:val="az-Latn-AZ"/>
        </w:rPr>
        <w:t xml:space="preserve"> 2023. CAREC </w:t>
      </w:r>
      <w:proofErr w:type="spellStart"/>
      <w:r>
        <w:rPr>
          <w:rFonts w:ascii="Times New Roman" w:hAnsi="Times New Roman" w:cs="Times New Roman"/>
          <w:sz w:val="28"/>
          <w:szCs w:val="28"/>
          <w:lang w:val="az-Latn-AZ"/>
        </w:rPr>
        <w:t>Program</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Secretariat</w:t>
      </w:r>
      <w:proofErr w:type="spellEnd"/>
      <w:r>
        <w:rPr>
          <w:rFonts w:ascii="Times New Roman" w:hAnsi="Times New Roman" w:cs="Times New Roman"/>
          <w:sz w:val="28"/>
          <w:szCs w:val="28"/>
          <w:lang w:val="az-Latn-AZ"/>
        </w:rPr>
        <w:t>.</w:t>
      </w:r>
    </w:p>
    <w:p w14:paraId="622F999E"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CAREC </w:t>
      </w:r>
      <w:proofErr w:type="spellStart"/>
      <w:r>
        <w:rPr>
          <w:rFonts w:ascii="Times New Roman" w:hAnsi="Times New Roman" w:cs="Times New Roman"/>
          <w:sz w:val="28"/>
          <w:szCs w:val="28"/>
          <w:lang w:val="az-Latn-AZ"/>
        </w:rPr>
        <w:t>Program</w:t>
      </w:r>
      <w:proofErr w:type="spellEnd"/>
      <w:r>
        <w:rPr>
          <w:rFonts w:ascii="Times New Roman" w:hAnsi="Times New Roman" w:cs="Times New Roman"/>
          <w:sz w:val="28"/>
          <w:szCs w:val="28"/>
          <w:lang w:val="az-Latn-AZ"/>
        </w:rPr>
        <w:t xml:space="preserve"> (2023). CAREC </w:t>
      </w:r>
      <w:proofErr w:type="spellStart"/>
      <w:r>
        <w:rPr>
          <w:rFonts w:ascii="Times New Roman" w:hAnsi="Times New Roman" w:cs="Times New Roman"/>
          <w:sz w:val="28"/>
          <w:szCs w:val="28"/>
          <w:lang w:val="az-Latn-AZ"/>
        </w:rPr>
        <w:t>Corridor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Performance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Measurement</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Monitoring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Annual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Report</w:t>
      </w:r>
      <w:proofErr w:type="spellEnd"/>
      <w:r>
        <w:rPr>
          <w:rFonts w:ascii="Times New Roman" w:hAnsi="Times New Roman" w:cs="Times New Roman"/>
          <w:sz w:val="28"/>
          <w:szCs w:val="28"/>
          <w:lang w:val="az-Latn-AZ"/>
        </w:rPr>
        <w:t xml:space="preserve"> 2023. CAREC </w:t>
      </w:r>
      <w:proofErr w:type="spellStart"/>
      <w:r>
        <w:rPr>
          <w:rFonts w:ascii="Times New Roman" w:hAnsi="Times New Roman" w:cs="Times New Roman"/>
          <w:sz w:val="28"/>
          <w:szCs w:val="28"/>
          <w:lang w:val="az-Latn-AZ"/>
        </w:rPr>
        <w:t>Institute</w:t>
      </w:r>
      <w:proofErr w:type="spellEnd"/>
      <w:r>
        <w:rPr>
          <w:rFonts w:ascii="Times New Roman" w:hAnsi="Times New Roman" w:cs="Times New Roman"/>
          <w:sz w:val="28"/>
          <w:szCs w:val="28"/>
          <w:lang w:val="az-Latn-AZ"/>
        </w:rPr>
        <w:t>.</w:t>
      </w:r>
    </w:p>
    <w:p w14:paraId="57252D05"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Datey</w:t>
      </w:r>
      <w:proofErr w:type="spellEnd"/>
      <w:r>
        <w:rPr>
          <w:rFonts w:ascii="Times New Roman" w:hAnsi="Times New Roman" w:cs="Times New Roman"/>
          <w:sz w:val="28"/>
          <w:szCs w:val="28"/>
          <w:lang w:val="az-Latn-AZ"/>
        </w:rPr>
        <w:t xml:space="preserve"> V.S.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Practice</w:t>
      </w:r>
      <w:proofErr w:type="spellEnd"/>
      <w:r>
        <w:rPr>
          <w:rFonts w:ascii="Times New Roman" w:hAnsi="Times New Roman" w:cs="Times New Roman"/>
          <w:sz w:val="28"/>
          <w:szCs w:val="28"/>
          <w:lang w:val="az-Latn-AZ"/>
        </w:rPr>
        <w:t xml:space="preserve"> &amp; </w:t>
      </w:r>
      <w:proofErr w:type="spellStart"/>
      <w:r>
        <w:rPr>
          <w:rFonts w:ascii="Times New Roman" w:hAnsi="Times New Roman" w:cs="Times New Roman"/>
          <w:sz w:val="28"/>
          <w:szCs w:val="28"/>
          <w:lang w:val="az-Latn-AZ"/>
        </w:rPr>
        <w:t>Procedures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Third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Edition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Mumbai</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Taxmann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Allied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Services</w:t>
      </w:r>
      <w:proofErr w:type="spellEnd"/>
      <w:r>
        <w:rPr>
          <w:rFonts w:ascii="Times New Roman" w:hAnsi="Times New Roman" w:cs="Times New Roman"/>
          <w:sz w:val="28"/>
          <w:szCs w:val="28"/>
          <w:lang w:val="az-Latn-AZ"/>
        </w:rPr>
        <w:t>”, 2018, 500 p.</w:t>
      </w:r>
    </w:p>
    <w:p w14:paraId="483D04DD"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Datey</w:t>
      </w:r>
      <w:proofErr w:type="spellEnd"/>
      <w:r>
        <w:rPr>
          <w:rFonts w:ascii="Times New Roman" w:hAnsi="Times New Roman" w:cs="Times New Roman"/>
          <w:sz w:val="28"/>
          <w:szCs w:val="28"/>
          <w:lang w:val="az-Latn-AZ"/>
        </w:rPr>
        <w:t xml:space="preserve"> V.S.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Practice</w:t>
      </w:r>
      <w:proofErr w:type="spellEnd"/>
      <w:r>
        <w:rPr>
          <w:rFonts w:ascii="Times New Roman" w:hAnsi="Times New Roman" w:cs="Times New Roman"/>
          <w:sz w:val="28"/>
          <w:szCs w:val="28"/>
          <w:lang w:val="az-Latn-AZ"/>
        </w:rPr>
        <w:t xml:space="preserve"> &amp; </w:t>
      </w:r>
      <w:proofErr w:type="spellStart"/>
      <w:r>
        <w:rPr>
          <w:rFonts w:ascii="Times New Roman" w:hAnsi="Times New Roman" w:cs="Times New Roman"/>
          <w:sz w:val="28"/>
          <w:szCs w:val="28"/>
          <w:lang w:val="az-Latn-AZ"/>
        </w:rPr>
        <w:t>Procedures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Mumbai</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Taxmann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Allied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Services</w:t>
      </w:r>
      <w:proofErr w:type="spellEnd"/>
      <w:r>
        <w:rPr>
          <w:rFonts w:ascii="Times New Roman" w:hAnsi="Times New Roman" w:cs="Times New Roman"/>
          <w:sz w:val="28"/>
          <w:szCs w:val="28"/>
          <w:lang w:val="az-Latn-AZ"/>
        </w:rPr>
        <w:t>”, 2012, 400 p.</w:t>
      </w:r>
    </w:p>
    <w:p w14:paraId="67F06946"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De </w:t>
      </w:r>
      <w:proofErr w:type="spellStart"/>
      <w:r>
        <w:rPr>
          <w:rFonts w:ascii="Times New Roman" w:hAnsi="Times New Roman" w:cs="Times New Roman"/>
          <w:sz w:val="28"/>
          <w:szCs w:val="28"/>
          <w:lang w:val="az-Latn-AZ"/>
        </w:rPr>
        <w:t>Wulf</w:t>
      </w:r>
      <w:proofErr w:type="spellEnd"/>
      <w:r>
        <w:rPr>
          <w:rFonts w:ascii="Times New Roman" w:hAnsi="Times New Roman" w:cs="Times New Roman"/>
          <w:sz w:val="28"/>
          <w:szCs w:val="28"/>
          <w:lang w:val="az-Latn-AZ"/>
        </w:rPr>
        <w:t xml:space="preserve"> L.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Modernization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Handbook</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Bank </w:t>
      </w:r>
      <w:proofErr w:type="spellStart"/>
      <w:r>
        <w:rPr>
          <w:rFonts w:ascii="Times New Roman" w:hAnsi="Times New Roman" w:cs="Times New Roman"/>
          <w:sz w:val="28"/>
          <w:szCs w:val="28"/>
          <w:lang w:val="az-Latn-AZ"/>
        </w:rPr>
        <w:t>Publications</w:t>
      </w:r>
      <w:proofErr w:type="spellEnd"/>
      <w:r>
        <w:rPr>
          <w:rFonts w:ascii="Times New Roman" w:hAnsi="Times New Roman" w:cs="Times New Roman"/>
          <w:sz w:val="28"/>
          <w:szCs w:val="28"/>
          <w:lang w:val="az-Latn-AZ"/>
        </w:rPr>
        <w:t>”, 2005, 350 p.</w:t>
      </w:r>
    </w:p>
    <w:p w14:paraId="0D039E37"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De </w:t>
      </w:r>
      <w:proofErr w:type="spellStart"/>
      <w:r>
        <w:rPr>
          <w:rFonts w:ascii="Times New Roman" w:hAnsi="Times New Roman" w:cs="Times New Roman"/>
          <w:sz w:val="28"/>
          <w:szCs w:val="28"/>
          <w:lang w:val="az-Latn-AZ"/>
        </w:rPr>
        <w:t>Wulf</w:t>
      </w:r>
      <w:proofErr w:type="spellEnd"/>
      <w:r>
        <w:rPr>
          <w:rFonts w:ascii="Times New Roman" w:hAnsi="Times New Roman" w:cs="Times New Roman"/>
          <w:sz w:val="28"/>
          <w:szCs w:val="28"/>
          <w:lang w:val="az-Latn-AZ"/>
        </w:rPr>
        <w:t xml:space="preserve"> L.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Modernization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Handbook</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Bank </w:t>
      </w:r>
      <w:proofErr w:type="spellStart"/>
      <w:r>
        <w:rPr>
          <w:rFonts w:ascii="Times New Roman" w:hAnsi="Times New Roman" w:cs="Times New Roman"/>
          <w:sz w:val="28"/>
          <w:szCs w:val="28"/>
          <w:lang w:val="az-Latn-AZ"/>
        </w:rPr>
        <w:t>Publications</w:t>
      </w:r>
      <w:proofErr w:type="spellEnd"/>
      <w:r>
        <w:rPr>
          <w:rFonts w:ascii="Times New Roman" w:hAnsi="Times New Roman" w:cs="Times New Roman"/>
          <w:sz w:val="28"/>
          <w:szCs w:val="28"/>
          <w:lang w:val="az-Latn-AZ"/>
        </w:rPr>
        <w:t>”, 2015, 350 p.</w:t>
      </w:r>
    </w:p>
    <w:p w14:paraId="5ED95A27"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De </w:t>
      </w:r>
      <w:proofErr w:type="spellStart"/>
      <w:r>
        <w:rPr>
          <w:rFonts w:ascii="Times New Roman" w:hAnsi="Times New Roman" w:cs="Times New Roman"/>
          <w:sz w:val="28"/>
          <w:szCs w:val="28"/>
          <w:lang w:val="az-Latn-AZ"/>
        </w:rPr>
        <w:t>Wulf</w:t>
      </w:r>
      <w:proofErr w:type="spellEnd"/>
      <w:r>
        <w:rPr>
          <w:rFonts w:ascii="Times New Roman" w:hAnsi="Times New Roman" w:cs="Times New Roman"/>
          <w:sz w:val="28"/>
          <w:szCs w:val="28"/>
          <w:lang w:val="az-Latn-AZ"/>
        </w:rPr>
        <w:t xml:space="preserve"> L.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Facilitation</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Reform</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Bank”, 2015, 280 p.</w:t>
      </w:r>
    </w:p>
    <w:p w14:paraId="53647085"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Editorial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Staff</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Administration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Commentary</w:t>
      </w:r>
      <w:proofErr w:type="spellEnd"/>
      <w:r>
        <w:rPr>
          <w:rFonts w:ascii="Times New Roman" w:hAnsi="Times New Roman" w:cs="Times New Roman"/>
          <w:sz w:val="28"/>
          <w:szCs w:val="28"/>
          <w:lang w:val="az-Latn-AZ"/>
        </w:rPr>
        <w:t>”, Toronto, “</w:t>
      </w:r>
      <w:proofErr w:type="spellStart"/>
      <w:r>
        <w:rPr>
          <w:rFonts w:ascii="Times New Roman" w:hAnsi="Times New Roman" w:cs="Times New Roman"/>
          <w:sz w:val="28"/>
          <w:szCs w:val="28"/>
          <w:lang w:val="az-Latn-AZ"/>
        </w:rPr>
        <w:t>Thomson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Reuters</w:t>
      </w:r>
      <w:proofErr w:type="spellEnd"/>
      <w:r>
        <w:rPr>
          <w:rFonts w:ascii="Times New Roman" w:hAnsi="Times New Roman" w:cs="Times New Roman"/>
          <w:sz w:val="28"/>
          <w:szCs w:val="28"/>
          <w:lang w:val="az-Latn-AZ"/>
        </w:rPr>
        <w:t>”, 2025, 1200 p.</w:t>
      </w:r>
    </w:p>
    <w:p w14:paraId="4F3D7CCD"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Editorial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Staff</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Handbook</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Durham</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Carolina</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Academic</w:t>
      </w:r>
      <w:proofErr w:type="spellEnd"/>
      <w:r>
        <w:rPr>
          <w:rFonts w:ascii="Times New Roman" w:hAnsi="Times New Roman" w:cs="Times New Roman"/>
          <w:sz w:val="28"/>
          <w:szCs w:val="28"/>
          <w:lang w:val="az-Latn-AZ"/>
        </w:rPr>
        <w:t xml:space="preserve"> Press”, 2024, 600 p.</w:t>
      </w:r>
    </w:p>
    <w:p w14:paraId="04E9A030"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Glick</w:t>
      </w:r>
      <w:proofErr w:type="spellEnd"/>
      <w:r>
        <w:rPr>
          <w:rFonts w:ascii="Times New Roman" w:hAnsi="Times New Roman" w:cs="Times New Roman"/>
          <w:sz w:val="28"/>
          <w:szCs w:val="28"/>
          <w:lang w:val="az-Latn-AZ"/>
        </w:rPr>
        <w:t xml:space="preserve"> L.A. “</w:t>
      </w:r>
      <w:proofErr w:type="spellStart"/>
      <w:r>
        <w:rPr>
          <w:rFonts w:ascii="Times New Roman" w:hAnsi="Times New Roman" w:cs="Times New Roman"/>
          <w:sz w:val="28"/>
          <w:szCs w:val="28"/>
          <w:lang w:val="az-Latn-AZ"/>
        </w:rPr>
        <w:t>Guide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to</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United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States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After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Modernization</w:t>
      </w:r>
      <w:proofErr w:type="spellEnd"/>
      <w:r>
        <w:rPr>
          <w:rFonts w:ascii="Times New Roman" w:hAnsi="Times New Roman" w:cs="Times New Roman"/>
          <w:sz w:val="28"/>
          <w:szCs w:val="28"/>
          <w:lang w:val="az-Latn-AZ"/>
        </w:rPr>
        <w:t xml:space="preserve"> Act, </w:t>
      </w:r>
      <w:proofErr w:type="spellStart"/>
      <w:r>
        <w:rPr>
          <w:rFonts w:ascii="Times New Roman" w:hAnsi="Times New Roman" w:cs="Times New Roman"/>
          <w:sz w:val="28"/>
          <w:szCs w:val="28"/>
          <w:lang w:val="az-Latn-AZ"/>
        </w:rPr>
        <w:t>Third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Edition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Alphen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aan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den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Rijn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Kluwer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2011, 460 p.</w:t>
      </w:r>
    </w:p>
    <w:p w14:paraId="11B31181"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Glick</w:t>
      </w:r>
      <w:proofErr w:type="spellEnd"/>
      <w:r>
        <w:rPr>
          <w:rFonts w:ascii="Times New Roman" w:hAnsi="Times New Roman" w:cs="Times New Roman"/>
          <w:sz w:val="28"/>
          <w:szCs w:val="28"/>
          <w:lang w:val="az-Latn-AZ"/>
        </w:rPr>
        <w:t xml:space="preserve"> L.A. “</w:t>
      </w:r>
      <w:proofErr w:type="spellStart"/>
      <w:r>
        <w:rPr>
          <w:rFonts w:ascii="Times New Roman" w:hAnsi="Times New Roman" w:cs="Times New Roman"/>
          <w:sz w:val="28"/>
          <w:szCs w:val="28"/>
          <w:lang w:val="az-Latn-AZ"/>
        </w:rPr>
        <w:t>Navigating</w:t>
      </w:r>
      <w:proofErr w:type="spellEnd"/>
      <w:r>
        <w:rPr>
          <w:rFonts w:ascii="Times New Roman" w:hAnsi="Times New Roman" w:cs="Times New Roman"/>
          <w:sz w:val="28"/>
          <w:szCs w:val="28"/>
          <w:lang w:val="az-Latn-AZ"/>
        </w:rPr>
        <w:t xml:space="preserve"> US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What</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You</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Need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to</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Know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Paul</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West</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Academic</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Publishing</w:t>
      </w:r>
      <w:proofErr w:type="spellEnd"/>
      <w:r>
        <w:rPr>
          <w:rFonts w:ascii="Times New Roman" w:hAnsi="Times New Roman" w:cs="Times New Roman"/>
          <w:sz w:val="28"/>
          <w:szCs w:val="28"/>
          <w:lang w:val="az-Latn-AZ"/>
        </w:rPr>
        <w:t>”, 2014, 200 p.</w:t>
      </w:r>
    </w:p>
    <w:p w14:paraId="1DB340F5"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Grainger</w:t>
      </w:r>
      <w:proofErr w:type="spellEnd"/>
      <w:r>
        <w:rPr>
          <w:rFonts w:ascii="Times New Roman" w:hAnsi="Times New Roman" w:cs="Times New Roman"/>
          <w:sz w:val="28"/>
          <w:szCs w:val="28"/>
          <w:lang w:val="az-Latn-AZ"/>
        </w:rPr>
        <w:t xml:space="preserve"> A.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Modernization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Handbook</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Bank </w:t>
      </w:r>
      <w:proofErr w:type="spellStart"/>
      <w:r>
        <w:rPr>
          <w:rFonts w:ascii="Times New Roman" w:hAnsi="Times New Roman" w:cs="Times New Roman"/>
          <w:sz w:val="28"/>
          <w:szCs w:val="28"/>
          <w:lang w:val="az-Latn-AZ"/>
        </w:rPr>
        <w:t>Publications</w:t>
      </w:r>
      <w:proofErr w:type="spellEnd"/>
      <w:r>
        <w:rPr>
          <w:rFonts w:ascii="Times New Roman" w:hAnsi="Times New Roman" w:cs="Times New Roman"/>
          <w:sz w:val="28"/>
          <w:szCs w:val="28"/>
          <w:lang w:val="az-Latn-AZ"/>
        </w:rPr>
        <w:t>”, 2014, 320 p.</w:t>
      </w:r>
    </w:p>
    <w:p w14:paraId="00CFA83C"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Jain</w:t>
      </w:r>
      <w:proofErr w:type="spellEnd"/>
      <w:r>
        <w:rPr>
          <w:rFonts w:ascii="Times New Roman" w:hAnsi="Times New Roman" w:cs="Times New Roman"/>
          <w:sz w:val="28"/>
          <w:szCs w:val="28"/>
          <w:lang w:val="az-Latn-AZ"/>
        </w:rPr>
        <w:t xml:space="preserve"> R.K.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Manual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New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Delhi</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Centax</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Publications</w:t>
      </w:r>
      <w:proofErr w:type="spellEnd"/>
      <w:r>
        <w:rPr>
          <w:rFonts w:ascii="Times New Roman" w:hAnsi="Times New Roman" w:cs="Times New Roman"/>
          <w:sz w:val="28"/>
          <w:szCs w:val="28"/>
          <w:lang w:val="az-Latn-AZ"/>
        </w:rPr>
        <w:t>”, 2025, 2000 p.</w:t>
      </w:r>
    </w:p>
    <w:p w14:paraId="3975C63C"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Jain</w:t>
      </w:r>
      <w:proofErr w:type="spellEnd"/>
      <w:r>
        <w:rPr>
          <w:rFonts w:ascii="Times New Roman" w:hAnsi="Times New Roman" w:cs="Times New Roman"/>
          <w:sz w:val="28"/>
          <w:szCs w:val="28"/>
          <w:lang w:val="az-Latn-AZ"/>
        </w:rPr>
        <w:t xml:space="preserve"> R.K. “R.K. </w:t>
      </w:r>
      <w:proofErr w:type="spellStart"/>
      <w:r>
        <w:rPr>
          <w:rFonts w:ascii="Times New Roman" w:hAnsi="Times New Roman" w:cs="Times New Roman"/>
          <w:sz w:val="28"/>
          <w:szCs w:val="28"/>
          <w:lang w:val="az-Latn-AZ"/>
        </w:rPr>
        <w:t>Jain's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Manual</w:t>
      </w:r>
      <w:proofErr w:type="spellEnd"/>
      <w:r>
        <w:rPr>
          <w:rFonts w:ascii="Times New Roman" w:hAnsi="Times New Roman" w:cs="Times New Roman"/>
          <w:sz w:val="28"/>
          <w:szCs w:val="28"/>
          <w:lang w:val="az-Latn-AZ"/>
        </w:rPr>
        <w:t xml:space="preserve"> [2024-25]”, </w:t>
      </w:r>
      <w:proofErr w:type="spellStart"/>
      <w:r>
        <w:rPr>
          <w:rFonts w:ascii="Times New Roman" w:hAnsi="Times New Roman" w:cs="Times New Roman"/>
          <w:sz w:val="28"/>
          <w:szCs w:val="28"/>
          <w:lang w:val="az-Latn-AZ"/>
        </w:rPr>
        <w:t>New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Delhi</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Centax</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Publications</w:t>
      </w:r>
      <w:proofErr w:type="spellEnd"/>
      <w:r>
        <w:rPr>
          <w:rFonts w:ascii="Times New Roman" w:hAnsi="Times New Roman" w:cs="Times New Roman"/>
          <w:sz w:val="28"/>
          <w:szCs w:val="28"/>
          <w:lang w:val="az-Latn-AZ"/>
        </w:rPr>
        <w:t>”, 2024, 1800 p.</w:t>
      </w:r>
    </w:p>
    <w:p w14:paraId="7642CDBA"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Johnson</w:t>
      </w:r>
      <w:proofErr w:type="spellEnd"/>
      <w:r>
        <w:rPr>
          <w:rFonts w:ascii="Times New Roman" w:hAnsi="Times New Roman" w:cs="Times New Roman"/>
          <w:sz w:val="28"/>
          <w:szCs w:val="28"/>
          <w:lang w:val="az-Latn-AZ"/>
        </w:rPr>
        <w:t xml:space="preserve"> T.E. “</w:t>
      </w:r>
      <w:proofErr w:type="spellStart"/>
      <w:r>
        <w:rPr>
          <w:rFonts w:ascii="Times New Roman" w:hAnsi="Times New Roman" w:cs="Times New Roman"/>
          <w:sz w:val="28"/>
          <w:szCs w:val="28"/>
          <w:lang w:val="az-Latn-AZ"/>
        </w:rPr>
        <w:t>Export</w:t>
      </w:r>
      <w:proofErr w:type="spellEnd"/>
      <w:r>
        <w:rPr>
          <w:rFonts w:ascii="Times New Roman" w:hAnsi="Times New Roman" w:cs="Times New Roman"/>
          <w:sz w:val="28"/>
          <w:szCs w:val="28"/>
          <w:lang w:val="az-Latn-AZ"/>
        </w:rPr>
        <w:t xml:space="preserve">/Import </w:t>
      </w:r>
      <w:proofErr w:type="spellStart"/>
      <w:r>
        <w:rPr>
          <w:rFonts w:ascii="Times New Roman" w:hAnsi="Times New Roman" w:cs="Times New Roman"/>
          <w:sz w:val="28"/>
          <w:szCs w:val="28"/>
          <w:lang w:val="az-Latn-AZ"/>
        </w:rPr>
        <w:t>Procedures</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Documentation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New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York</w:t>
      </w:r>
      <w:proofErr w:type="spellEnd"/>
      <w:r>
        <w:rPr>
          <w:rFonts w:ascii="Times New Roman" w:hAnsi="Times New Roman" w:cs="Times New Roman"/>
          <w:sz w:val="28"/>
          <w:szCs w:val="28"/>
          <w:lang w:val="az-Latn-AZ"/>
        </w:rPr>
        <w:t>, “AMACOM”, 2015, 464 p.</w:t>
      </w:r>
    </w:p>
    <w:p w14:paraId="7BDB4D61"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Juárez</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Allende</w:t>
      </w:r>
      <w:proofErr w:type="spellEnd"/>
      <w:r>
        <w:rPr>
          <w:rFonts w:ascii="Times New Roman" w:hAnsi="Times New Roman" w:cs="Times New Roman"/>
          <w:sz w:val="28"/>
          <w:szCs w:val="28"/>
          <w:lang w:val="az-Latn-AZ"/>
        </w:rPr>
        <w:t xml:space="preserve"> H.H.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Organization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Past</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Present</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Future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Cham</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Springer</w:t>
      </w:r>
      <w:proofErr w:type="spellEnd"/>
      <w:r>
        <w:rPr>
          <w:rFonts w:ascii="Times New Roman" w:hAnsi="Times New Roman" w:cs="Times New Roman"/>
          <w:sz w:val="28"/>
          <w:szCs w:val="28"/>
          <w:lang w:val="az-Latn-AZ"/>
        </w:rPr>
        <w:t>”, 2022, 300 p.</w:t>
      </w:r>
    </w:p>
    <w:p w14:paraId="27348956"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Juárez</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Allende</w:t>
      </w:r>
      <w:proofErr w:type="spellEnd"/>
      <w:r>
        <w:rPr>
          <w:rFonts w:ascii="Times New Roman" w:hAnsi="Times New Roman" w:cs="Times New Roman"/>
          <w:sz w:val="28"/>
          <w:szCs w:val="28"/>
          <w:lang w:val="az-Latn-AZ"/>
        </w:rPr>
        <w:t xml:space="preserve"> H.H.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Organization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Past</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Present</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Future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Cham</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Springer</w:t>
      </w:r>
      <w:proofErr w:type="spellEnd"/>
      <w:r>
        <w:rPr>
          <w:rFonts w:ascii="Times New Roman" w:hAnsi="Times New Roman" w:cs="Times New Roman"/>
          <w:sz w:val="28"/>
          <w:szCs w:val="28"/>
          <w:lang w:val="az-Latn-AZ"/>
        </w:rPr>
        <w:t>”, 2021, 300 p.</w:t>
      </w:r>
    </w:p>
    <w:p w14:paraId="25856EE7"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Kim, K., &amp; </w:t>
      </w:r>
      <w:proofErr w:type="spellStart"/>
      <w:r>
        <w:rPr>
          <w:rFonts w:ascii="Times New Roman" w:hAnsi="Times New Roman" w:cs="Times New Roman"/>
          <w:sz w:val="28"/>
          <w:szCs w:val="28"/>
          <w:lang w:val="az-Latn-AZ"/>
        </w:rPr>
        <w:t>Mariano</w:t>
      </w:r>
      <w:proofErr w:type="spellEnd"/>
      <w:r>
        <w:rPr>
          <w:rFonts w:ascii="Times New Roman" w:hAnsi="Times New Roman" w:cs="Times New Roman"/>
          <w:sz w:val="28"/>
          <w:szCs w:val="28"/>
          <w:lang w:val="az-Latn-AZ"/>
        </w:rPr>
        <w:t xml:space="preserve">, R. (2022).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impact</w:t>
      </w:r>
      <w:proofErr w:type="spellEnd"/>
      <w:r>
        <w:rPr>
          <w:rFonts w:ascii="Times New Roman" w:hAnsi="Times New Roman" w:cs="Times New Roman"/>
          <w:sz w:val="28"/>
          <w:szCs w:val="28"/>
          <w:lang w:val="az-Latn-AZ"/>
        </w:rPr>
        <w:t xml:space="preserve"> of </w:t>
      </w:r>
      <w:proofErr w:type="spellStart"/>
      <w:r>
        <w:rPr>
          <w:rFonts w:ascii="Times New Roman" w:hAnsi="Times New Roman" w:cs="Times New Roman"/>
          <w:sz w:val="28"/>
          <w:szCs w:val="28"/>
          <w:lang w:val="az-Latn-AZ"/>
        </w:rPr>
        <w:t>reducing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time</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costs</w:t>
      </w:r>
      <w:proofErr w:type="spellEnd"/>
      <w:r>
        <w:rPr>
          <w:rFonts w:ascii="Times New Roman" w:hAnsi="Times New Roman" w:cs="Times New Roman"/>
          <w:sz w:val="28"/>
          <w:szCs w:val="28"/>
          <w:lang w:val="az-Latn-AZ"/>
        </w:rPr>
        <w:t xml:space="preserve"> at </w:t>
      </w:r>
      <w:proofErr w:type="spellStart"/>
      <w:r>
        <w:rPr>
          <w:rFonts w:ascii="Times New Roman" w:hAnsi="Times New Roman" w:cs="Times New Roman"/>
          <w:sz w:val="28"/>
          <w:szCs w:val="28"/>
          <w:lang w:val="az-Latn-AZ"/>
        </w:rPr>
        <w:t>borders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Central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Asia</w:t>
      </w:r>
      <w:proofErr w:type="spellEnd"/>
      <w:r>
        <w:rPr>
          <w:rFonts w:ascii="Times New Roman" w:hAnsi="Times New Roman" w:cs="Times New Roman"/>
          <w:sz w:val="28"/>
          <w:szCs w:val="28"/>
          <w:lang w:val="az-Latn-AZ"/>
        </w:rPr>
        <w:t xml:space="preserve"> Regional </w:t>
      </w:r>
      <w:proofErr w:type="spellStart"/>
      <w:r>
        <w:rPr>
          <w:rFonts w:ascii="Times New Roman" w:hAnsi="Times New Roman" w:cs="Times New Roman"/>
          <w:sz w:val="28"/>
          <w:szCs w:val="28"/>
          <w:lang w:val="az-Latn-AZ"/>
        </w:rPr>
        <w:t>Economic</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Cooperation</w:t>
      </w:r>
      <w:proofErr w:type="spellEnd"/>
      <w:r>
        <w:rPr>
          <w:rFonts w:ascii="Times New Roman" w:hAnsi="Times New Roman" w:cs="Times New Roman"/>
          <w:sz w:val="28"/>
          <w:szCs w:val="28"/>
          <w:lang w:val="az-Latn-AZ"/>
        </w:rPr>
        <w:t xml:space="preserve"> region. </w:t>
      </w:r>
      <w:proofErr w:type="spellStart"/>
      <w:r>
        <w:rPr>
          <w:rFonts w:ascii="Times New Roman" w:hAnsi="Times New Roman" w:cs="Times New Roman"/>
          <w:sz w:val="28"/>
          <w:szCs w:val="28"/>
          <w:lang w:val="az-Latn-AZ"/>
        </w:rPr>
        <w:t>Emerging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Markets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Finance</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58(9), 2602–2619.</w:t>
      </w:r>
    </w:p>
    <w:p w14:paraId="0AFC5269"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McLinden</w:t>
      </w:r>
      <w:proofErr w:type="spellEnd"/>
      <w:r>
        <w:rPr>
          <w:rFonts w:ascii="Times New Roman" w:hAnsi="Times New Roman" w:cs="Times New Roman"/>
          <w:sz w:val="28"/>
          <w:szCs w:val="28"/>
          <w:lang w:val="az-Latn-AZ"/>
        </w:rPr>
        <w:t xml:space="preserve"> G. “</w:t>
      </w:r>
      <w:proofErr w:type="spellStart"/>
      <w:r>
        <w:rPr>
          <w:rFonts w:ascii="Times New Roman" w:hAnsi="Times New Roman" w:cs="Times New Roman"/>
          <w:sz w:val="28"/>
          <w:szCs w:val="28"/>
          <w:lang w:val="az-Latn-AZ"/>
        </w:rPr>
        <w:t>Border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Management</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Modernization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Bank”, 2011, 327 p.</w:t>
      </w:r>
    </w:p>
    <w:p w14:paraId="0CF24C5B"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Montagnat-Rentier</w:t>
      </w:r>
      <w:proofErr w:type="spellEnd"/>
      <w:r>
        <w:rPr>
          <w:rFonts w:ascii="Times New Roman" w:hAnsi="Times New Roman" w:cs="Times New Roman"/>
          <w:sz w:val="28"/>
          <w:szCs w:val="28"/>
          <w:lang w:val="az-Latn-AZ"/>
        </w:rPr>
        <w:t xml:space="preserve"> G. “</w:t>
      </w:r>
      <w:proofErr w:type="spellStart"/>
      <w:r>
        <w:rPr>
          <w:rFonts w:ascii="Times New Roman" w:hAnsi="Times New Roman" w:cs="Times New Roman"/>
          <w:sz w:val="28"/>
          <w:szCs w:val="28"/>
          <w:lang w:val="az-Latn-AZ"/>
        </w:rPr>
        <w:t>How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to</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Modernize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Procedures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to</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Successfully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Implement</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African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Continental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Free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Area</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Monetary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Fund</w:t>
      </w:r>
      <w:proofErr w:type="spellEnd"/>
      <w:r>
        <w:rPr>
          <w:rFonts w:ascii="Times New Roman" w:hAnsi="Times New Roman" w:cs="Times New Roman"/>
          <w:sz w:val="28"/>
          <w:szCs w:val="28"/>
          <w:lang w:val="az-Latn-AZ"/>
        </w:rPr>
        <w:t>”, 2025, 50 p.</w:t>
      </w:r>
    </w:p>
    <w:p w14:paraId="4667FA1A"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Montagnat-Rentier</w:t>
      </w:r>
      <w:proofErr w:type="spellEnd"/>
      <w:r>
        <w:rPr>
          <w:rFonts w:ascii="Times New Roman" w:hAnsi="Times New Roman" w:cs="Times New Roman"/>
          <w:sz w:val="28"/>
          <w:szCs w:val="28"/>
          <w:lang w:val="az-Latn-AZ"/>
        </w:rPr>
        <w:t xml:space="preserve"> G. “</w:t>
      </w:r>
      <w:proofErr w:type="spellStart"/>
      <w:r>
        <w:rPr>
          <w:rFonts w:ascii="Times New Roman" w:hAnsi="Times New Roman" w:cs="Times New Roman"/>
          <w:sz w:val="28"/>
          <w:szCs w:val="28"/>
          <w:lang w:val="az-Latn-AZ"/>
        </w:rPr>
        <w:t>Ukraine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Technical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Assistance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Report-National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Revenue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Strategy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Implementation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Administration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Reforms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Monetary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Fund</w:t>
      </w:r>
      <w:proofErr w:type="spellEnd"/>
      <w:r>
        <w:rPr>
          <w:rFonts w:ascii="Times New Roman" w:hAnsi="Times New Roman" w:cs="Times New Roman"/>
          <w:sz w:val="28"/>
          <w:szCs w:val="28"/>
          <w:lang w:val="az-Latn-AZ"/>
        </w:rPr>
        <w:t>”, 2025, 100 p.</w:t>
      </w:r>
    </w:p>
    <w:p w14:paraId="1DF29662"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Pérez</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Azcárraga</w:t>
      </w:r>
      <w:proofErr w:type="spellEnd"/>
      <w:r>
        <w:rPr>
          <w:rFonts w:ascii="Times New Roman" w:hAnsi="Times New Roman" w:cs="Times New Roman"/>
          <w:sz w:val="28"/>
          <w:szCs w:val="28"/>
          <w:lang w:val="az-Latn-AZ"/>
        </w:rPr>
        <w:t xml:space="preserve"> A.A.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Matters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Strengthening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Administration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w:t>
      </w:r>
      <w:proofErr w:type="spellEnd"/>
      <w:r>
        <w:rPr>
          <w:rFonts w:ascii="Times New Roman" w:hAnsi="Times New Roman" w:cs="Times New Roman"/>
          <w:sz w:val="28"/>
          <w:szCs w:val="28"/>
          <w:lang w:val="az-Latn-AZ"/>
        </w:rPr>
        <w:t xml:space="preserve"> a </w:t>
      </w:r>
      <w:proofErr w:type="spellStart"/>
      <w:r>
        <w:rPr>
          <w:rFonts w:ascii="Times New Roman" w:hAnsi="Times New Roman" w:cs="Times New Roman"/>
          <w:sz w:val="28"/>
          <w:szCs w:val="28"/>
          <w:lang w:val="az-Latn-AZ"/>
        </w:rPr>
        <w:t>Changing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Monetary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Fund</w:t>
      </w:r>
      <w:proofErr w:type="spellEnd"/>
      <w:r>
        <w:rPr>
          <w:rFonts w:ascii="Times New Roman" w:hAnsi="Times New Roman" w:cs="Times New Roman"/>
          <w:sz w:val="28"/>
          <w:szCs w:val="28"/>
          <w:lang w:val="az-Latn-AZ"/>
        </w:rPr>
        <w:t>”, 2022, 512 p.</w:t>
      </w:r>
    </w:p>
    <w:p w14:paraId="7E7FE665"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Pérez</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Azcárraga</w:t>
      </w:r>
      <w:proofErr w:type="spellEnd"/>
      <w:r>
        <w:rPr>
          <w:rFonts w:ascii="Times New Roman" w:hAnsi="Times New Roman" w:cs="Times New Roman"/>
          <w:sz w:val="28"/>
          <w:szCs w:val="28"/>
          <w:lang w:val="az-Latn-AZ"/>
        </w:rPr>
        <w:t xml:space="preserve"> A.A.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Matters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Strengthening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Administration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w:t>
      </w:r>
      <w:proofErr w:type="spellEnd"/>
      <w:r>
        <w:rPr>
          <w:rFonts w:ascii="Times New Roman" w:hAnsi="Times New Roman" w:cs="Times New Roman"/>
          <w:sz w:val="28"/>
          <w:szCs w:val="28"/>
          <w:lang w:val="az-Latn-AZ"/>
        </w:rPr>
        <w:t xml:space="preserve"> a </w:t>
      </w:r>
      <w:proofErr w:type="spellStart"/>
      <w:r>
        <w:rPr>
          <w:rFonts w:ascii="Times New Roman" w:hAnsi="Times New Roman" w:cs="Times New Roman"/>
          <w:sz w:val="28"/>
          <w:szCs w:val="28"/>
          <w:lang w:val="az-Latn-AZ"/>
        </w:rPr>
        <w:t>Changing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Monetary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Fund</w:t>
      </w:r>
      <w:proofErr w:type="spellEnd"/>
      <w:r>
        <w:rPr>
          <w:rFonts w:ascii="Times New Roman" w:hAnsi="Times New Roman" w:cs="Times New Roman"/>
          <w:sz w:val="28"/>
          <w:szCs w:val="28"/>
          <w:lang w:val="az-Latn-AZ"/>
        </w:rPr>
        <w:t>”, 2022, 512 p.</w:t>
      </w:r>
    </w:p>
    <w:p w14:paraId="0BB6A4C2"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Pérez</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Azcárraga</w:t>
      </w:r>
      <w:proofErr w:type="spellEnd"/>
      <w:r>
        <w:rPr>
          <w:rFonts w:ascii="Times New Roman" w:hAnsi="Times New Roman" w:cs="Times New Roman"/>
          <w:sz w:val="28"/>
          <w:szCs w:val="28"/>
          <w:lang w:val="az-Latn-AZ"/>
        </w:rPr>
        <w:t xml:space="preserve"> A.A. “</w:t>
      </w:r>
      <w:proofErr w:type="spellStart"/>
      <w:r>
        <w:rPr>
          <w:rFonts w:ascii="Times New Roman" w:hAnsi="Times New Roman" w:cs="Times New Roman"/>
          <w:sz w:val="28"/>
          <w:szCs w:val="28"/>
          <w:lang w:val="az-Latn-AZ"/>
        </w:rPr>
        <w:t>Developing</w:t>
      </w:r>
      <w:proofErr w:type="spellEnd"/>
      <w:r>
        <w:rPr>
          <w:rFonts w:ascii="Times New Roman" w:hAnsi="Times New Roman" w:cs="Times New Roman"/>
          <w:sz w:val="28"/>
          <w:szCs w:val="28"/>
          <w:lang w:val="az-Latn-AZ"/>
        </w:rPr>
        <w:t xml:space="preserve"> a Risk-</w:t>
      </w:r>
      <w:proofErr w:type="spellStart"/>
      <w:r>
        <w:rPr>
          <w:rFonts w:ascii="Times New Roman" w:hAnsi="Times New Roman" w:cs="Times New Roman"/>
          <w:sz w:val="28"/>
          <w:szCs w:val="28"/>
          <w:lang w:val="az-Latn-AZ"/>
        </w:rPr>
        <w:t>Based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Compliance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Improvement</w:t>
      </w:r>
      <w:proofErr w:type="spellEnd"/>
      <w:r>
        <w:rPr>
          <w:rFonts w:ascii="Times New Roman" w:hAnsi="Times New Roman" w:cs="Times New Roman"/>
          <w:sz w:val="28"/>
          <w:szCs w:val="28"/>
          <w:lang w:val="az-Latn-AZ"/>
        </w:rPr>
        <w:t xml:space="preserve"> Plan </w:t>
      </w:r>
      <w:proofErr w:type="spellStart"/>
      <w:r>
        <w:rPr>
          <w:rFonts w:ascii="Times New Roman" w:hAnsi="Times New Roman" w:cs="Times New Roman"/>
          <w:sz w:val="28"/>
          <w:szCs w:val="28"/>
          <w:lang w:val="az-Latn-AZ"/>
        </w:rPr>
        <w:t>for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Administrations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Monetary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Fund</w:t>
      </w:r>
      <w:proofErr w:type="spellEnd"/>
      <w:r>
        <w:rPr>
          <w:rFonts w:ascii="Times New Roman" w:hAnsi="Times New Roman" w:cs="Times New Roman"/>
          <w:sz w:val="28"/>
          <w:szCs w:val="28"/>
          <w:lang w:val="az-Latn-AZ"/>
        </w:rPr>
        <w:t>”, 2025, 60 p.</w:t>
      </w:r>
    </w:p>
    <w:p w14:paraId="78DB67E3"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r>
        <w:rPr>
          <w:rFonts w:ascii="Times New Roman" w:hAnsi="Times New Roman" w:cs="Times New Roman"/>
          <w:sz w:val="28"/>
          <w:szCs w:val="28"/>
          <w:lang w:val="az-Latn-AZ"/>
        </w:rPr>
        <w:t>Pike D.V.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Second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Edition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Durham</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Carolina</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Academic</w:t>
      </w:r>
      <w:proofErr w:type="spellEnd"/>
      <w:r>
        <w:rPr>
          <w:rFonts w:ascii="Times New Roman" w:hAnsi="Times New Roman" w:cs="Times New Roman"/>
          <w:sz w:val="28"/>
          <w:szCs w:val="28"/>
          <w:lang w:val="az-Latn-AZ"/>
        </w:rPr>
        <w:t xml:space="preserve"> Press”, 2015, 800 p.</w:t>
      </w:r>
    </w:p>
    <w:p w14:paraId="142D5F43"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r>
        <w:rPr>
          <w:rFonts w:ascii="Times New Roman" w:hAnsi="Times New Roman" w:cs="Times New Roman"/>
          <w:sz w:val="28"/>
          <w:szCs w:val="28"/>
          <w:lang w:val="az-Latn-AZ"/>
        </w:rPr>
        <w:t>Pike D.V.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Law</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Durham</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Carolina</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Academic</w:t>
      </w:r>
      <w:proofErr w:type="spellEnd"/>
      <w:r>
        <w:rPr>
          <w:rFonts w:ascii="Times New Roman" w:hAnsi="Times New Roman" w:cs="Times New Roman"/>
          <w:sz w:val="28"/>
          <w:szCs w:val="28"/>
          <w:lang w:val="az-Latn-AZ"/>
        </w:rPr>
        <w:t xml:space="preserve"> Press”, 2011, 700 p.</w:t>
      </w:r>
    </w:p>
    <w:p w14:paraId="2BAC411E"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Rao</w:t>
      </w:r>
      <w:proofErr w:type="spellEnd"/>
      <w:r>
        <w:rPr>
          <w:rFonts w:ascii="Times New Roman" w:hAnsi="Times New Roman" w:cs="Times New Roman"/>
          <w:sz w:val="28"/>
          <w:szCs w:val="28"/>
          <w:lang w:val="az-Latn-AZ"/>
        </w:rPr>
        <w:t xml:space="preserve"> G. “</w:t>
      </w:r>
      <w:proofErr w:type="spellStart"/>
      <w:r>
        <w:rPr>
          <w:rFonts w:ascii="Times New Roman" w:hAnsi="Times New Roman" w:cs="Times New Roman"/>
          <w:sz w:val="28"/>
          <w:szCs w:val="28"/>
          <w:lang w:val="az-Latn-AZ"/>
        </w:rPr>
        <w:t>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Duties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Houses</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Making</w:t>
      </w:r>
      <w:proofErr w:type="spellEnd"/>
      <w:r>
        <w:rPr>
          <w:rFonts w:ascii="Times New Roman" w:hAnsi="Times New Roman" w:cs="Times New Roman"/>
          <w:sz w:val="28"/>
          <w:szCs w:val="28"/>
          <w:lang w:val="az-Latn-AZ"/>
        </w:rPr>
        <w:t xml:space="preserve"> of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American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State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Chicago</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University</w:t>
      </w:r>
      <w:proofErr w:type="spellEnd"/>
      <w:r>
        <w:rPr>
          <w:rFonts w:ascii="Times New Roman" w:hAnsi="Times New Roman" w:cs="Times New Roman"/>
          <w:sz w:val="28"/>
          <w:szCs w:val="28"/>
          <w:lang w:val="az-Latn-AZ"/>
        </w:rPr>
        <w:t xml:space="preserve"> of </w:t>
      </w:r>
      <w:proofErr w:type="spellStart"/>
      <w:r>
        <w:rPr>
          <w:rFonts w:ascii="Times New Roman" w:hAnsi="Times New Roman" w:cs="Times New Roman"/>
          <w:sz w:val="28"/>
          <w:szCs w:val="28"/>
          <w:lang w:val="az-Latn-AZ"/>
        </w:rPr>
        <w:t>Chicago</w:t>
      </w:r>
      <w:proofErr w:type="spellEnd"/>
      <w:r>
        <w:rPr>
          <w:rFonts w:ascii="Times New Roman" w:hAnsi="Times New Roman" w:cs="Times New Roman"/>
          <w:sz w:val="28"/>
          <w:szCs w:val="28"/>
          <w:lang w:val="az-Latn-AZ"/>
        </w:rPr>
        <w:t xml:space="preserve"> Press”, 2016, 272 p.</w:t>
      </w:r>
    </w:p>
    <w:p w14:paraId="0A4AE315"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Samad</w:t>
      </w:r>
      <w:proofErr w:type="spellEnd"/>
      <w:r>
        <w:rPr>
          <w:rFonts w:ascii="Times New Roman" w:hAnsi="Times New Roman" w:cs="Times New Roman"/>
          <w:sz w:val="28"/>
          <w:szCs w:val="28"/>
          <w:lang w:val="az-Latn-AZ"/>
        </w:rPr>
        <w:t xml:space="preserve">, G. (2023). </w:t>
      </w:r>
      <w:proofErr w:type="spellStart"/>
      <w:r>
        <w:rPr>
          <w:rFonts w:ascii="Times New Roman" w:hAnsi="Times New Roman" w:cs="Times New Roman"/>
          <w:sz w:val="28"/>
          <w:szCs w:val="28"/>
          <w:lang w:val="az-Latn-AZ"/>
        </w:rPr>
        <w:t>Introduction</w:t>
      </w:r>
      <w:proofErr w:type="spellEnd"/>
      <w:r>
        <w:rPr>
          <w:rFonts w:ascii="Times New Roman" w:hAnsi="Times New Roman" w:cs="Times New Roman"/>
          <w:sz w:val="28"/>
          <w:szCs w:val="28"/>
          <w:lang w:val="az-Latn-AZ"/>
        </w:rPr>
        <w:t xml:space="preserve"> of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Middle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Corridor’s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Role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Strengthening</w:t>
      </w:r>
      <w:proofErr w:type="spellEnd"/>
      <w:r>
        <w:rPr>
          <w:rFonts w:ascii="Times New Roman" w:hAnsi="Times New Roman" w:cs="Times New Roman"/>
          <w:sz w:val="28"/>
          <w:szCs w:val="28"/>
          <w:lang w:val="az-Latn-AZ"/>
        </w:rPr>
        <w:t xml:space="preserve"> Regional </w:t>
      </w:r>
      <w:proofErr w:type="spellStart"/>
      <w:r>
        <w:rPr>
          <w:rFonts w:ascii="Times New Roman" w:hAnsi="Times New Roman" w:cs="Times New Roman"/>
          <w:sz w:val="28"/>
          <w:szCs w:val="28"/>
          <w:lang w:val="az-Latn-AZ"/>
        </w:rPr>
        <w:t>Connectivity</w:t>
      </w:r>
      <w:proofErr w:type="spellEnd"/>
      <w:r>
        <w:rPr>
          <w:rFonts w:ascii="Times New Roman" w:hAnsi="Times New Roman" w:cs="Times New Roman"/>
          <w:sz w:val="28"/>
          <w:szCs w:val="28"/>
          <w:lang w:val="az-Latn-AZ"/>
        </w:rPr>
        <w:t xml:space="preserve">. CAREC </w:t>
      </w:r>
      <w:proofErr w:type="spellStart"/>
      <w:r>
        <w:rPr>
          <w:rFonts w:ascii="Times New Roman" w:hAnsi="Times New Roman" w:cs="Times New Roman"/>
          <w:sz w:val="28"/>
          <w:szCs w:val="28"/>
          <w:lang w:val="az-Latn-AZ"/>
        </w:rPr>
        <w:t>Institute</w:t>
      </w:r>
      <w:proofErr w:type="spellEnd"/>
      <w:r>
        <w:rPr>
          <w:rFonts w:ascii="Times New Roman" w:hAnsi="Times New Roman" w:cs="Times New Roman"/>
          <w:sz w:val="28"/>
          <w:szCs w:val="28"/>
          <w:lang w:val="az-Latn-AZ"/>
        </w:rPr>
        <w:t>.</w:t>
      </w:r>
    </w:p>
    <w:p w14:paraId="75F66588"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Sherman</w:t>
      </w:r>
      <w:proofErr w:type="spellEnd"/>
      <w:r>
        <w:rPr>
          <w:rFonts w:ascii="Times New Roman" w:hAnsi="Times New Roman" w:cs="Times New Roman"/>
          <w:sz w:val="28"/>
          <w:szCs w:val="28"/>
          <w:lang w:val="az-Latn-AZ"/>
        </w:rPr>
        <w:t xml:space="preserve"> M.D. “U.S.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A </w:t>
      </w:r>
      <w:proofErr w:type="spellStart"/>
      <w:r>
        <w:rPr>
          <w:rFonts w:ascii="Times New Roman" w:hAnsi="Times New Roman" w:cs="Times New Roman"/>
          <w:sz w:val="28"/>
          <w:szCs w:val="28"/>
          <w:lang w:val="az-Latn-AZ"/>
        </w:rPr>
        <w:t>Practitioner's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Guide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to</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Principles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Process</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Procedures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Chicago</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American</w:t>
      </w:r>
      <w:proofErr w:type="spellEnd"/>
      <w:r>
        <w:rPr>
          <w:rFonts w:ascii="Times New Roman" w:hAnsi="Times New Roman" w:cs="Times New Roman"/>
          <w:sz w:val="28"/>
          <w:szCs w:val="28"/>
          <w:lang w:val="az-Latn-AZ"/>
        </w:rPr>
        <w:t xml:space="preserve"> Bar </w:t>
      </w:r>
      <w:proofErr w:type="spellStart"/>
      <w:r>
        <w:rPr>
          <w:rFonts w:ascii="Times New Roman" w:hAnsi="Times New Roman" w:cs="Times New Roman"/>
          <w:sz w:val="28"/>
          <w:szCs w:val="28"/>
          <w:lang w:val="az-Latn-AZ"/>
        </w:rPr>
        <w:t>Association</w:t>
      </w:r>
      <w:proofErr w:type="spellEnd"/>
      <w:r>
        <w:rPr>
          <w:rFonts w:ascii="Times New Roman" w:hAnsi="Times New Roman" w:cs="Times New Roman"/>
          <w:sz w:val="28"/>
          <w:szCs w:val="28"/>
          <w:lang w:val="az-Latn-AZ"/>
        </w:rPr>
        <w:t>”, 2018, 500 p.</w:t>
      </w:r>
    </w:p>
    <w:p w14:paraId="08A2087F"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Sokol</w:t>
      </w:r>
      <w:proofErr w:type="spellEnd"/>
      <w:r>
        <w:rPr>
          <w:rFonts w:ascii="Times New Roman" w:hAnsi="Times New Roman" w:cs="Times New Roman"/>
          <w:sz w:val="28"/>
          <w:szCs w:val="28"/>
          <w:lang w:val="az-Latn-AZ"/>
        </w:rPr>
        <w:t xml:space="preserve"> J.B.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Modernization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Initiatives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Case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Studies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Bank”, 2011, 300 p.</w:t>
      </w:r>
    </w:p>
    <w:p w14:paraId="4B2CADCD"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State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Committee</w:t>
      </w:r>
      <w:proofErr w:type="spellEnd"/>
      <w:r>
        <w:rPr>
          <w:rFonts w:ascii="Times New Roman" w:hAnsi="Times New Roman" w:cs="Times New Roman"/>
          <w:sz w:val="28"/>
          <w:szCs w:val="28"/>
          <w:lang w:val="az-Latn-AZ"/>
        </w:rPr>
        <w:t xml:space="preserve"> of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Republic</w:t>
      </w:r>
      <w:proofErr w:type="spellEnd"/>
      <w:r>
        <w:rPr>
          <w:rFonts w:ascii="Times New Roman" w:hAnsi="Times New Roman" w:cs="Times New Roman"/>
          <w:sz w:val="28"/>
          <w:szCs w:val="28"/>
          <w:lang w:val="az-Latn-AZ"/>
        </w:rPr>
        <w:t xml:space="preserve"> of </w:t>
      </w:r>
      <w:proofErr w:type="spellStart"/>
      <w:r>
        <w:rPr>
          <w:rFonts w:ascii="Times New Roman" w:hAnsi="Times New Roman" w:cs="Times New Roman"/>
          <w:sz w:val="28"/>
          <w:szCs w:val="28"/>
          <w:lang w:val="az-Latn-AZ"/>
        </w:rPr>
        <w:t>Azerbaijan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n.d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The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Measurement</w:t>
      </w:r>
      <w:proofErr w:type="spellEnd"/>
      <w:r>
        <w:rPr>
          <w:rFonts w:ascii="Times New Roman" w:hAnsi="Times New Roman" w:cs="Times New Roman"/>
          <w:sz w:val="28"/>
          <w:szCs w:val="28"/>
          <w:lang w:val="az-Latn-AZ"/>
        </w:rPr>
        <w:t xml:space="preserve"> of </w:t>
      </w:r>
      <w:proofErr w:type="spellStart"/>
      <w:r>
        <w:rPr>
          <w:rFonts w:ascii="Times New Roman" w:hAnsi="Times New Roman" w:cs="Times New Roman"/>
          <w:sz w:val="28"/>
          <w:szCs w:val="28"/>
          <w:lang w:val="az-Latn-AZ"/>
        </w:rPr>
        <w:t>Border</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Crossing</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Time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Time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Release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Study</w:t>
      </w:r>
      <w:proofErr w:type="spellEnd"/>
      <w:r>
        <w:rPr>
          <w:rFonts w:ascii="Times New Roman" w:hAnsi="Times New Roman" w:cs="Times New Roman"/>
          <w:sz w:val="28"/>
          <w:szCs w:val="28"/>
          <w:lang w:val="az-Latn-AZ"/>
        </w:rPr>
        <w:t xml:space="preserve"> – TRS). Bakı: Azərbaycan Respublikası Dövlət Gömrük Komitəsi. Mövcud ünvan: https://customs.gov.az</w:t>
      </w:r>
    </w:p>
    <w:p w14:paraId="0C147E1F"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Organization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Harmonized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System</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Explanatory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Notes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Brussels</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Organization</w:t>
      </w:r>
      <w:proofErr w:type="spellEnd"/>
      <w:r>
        <w:rPr>
          <w:rFonts w:ascii="Times New Roman" w:hAnsi="Times New Roman" w:cs="Times New Roman"/>
          <w:sz w:val="28"/>
          <w:szCs w:val="28"/>
          <w:lang w:val="az-Latn-AZ"/>
        </w:rPr>
        <w:t>”, 2022, 5000 p.</w:t>
      </w:r>
    </w:p>
    <w:p w14:paraId="09372D47"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Organization</w:t>
      </w:r>
      <w:proofErr w:type="spellEnd"/>
      <w:r>
        <w:rPr>
          <w:rFonts w:ascii="Times New Roman" w:hAnsi="Times New Roman" w:cs="Times New Roman"/>
          <w:sz w:val="28"/>
          <w:szCs w:val="28"/>
          <w:lang w:val="az-Latn-AZ"/>
        </w:rPr>
        <w:t xml:space="preserve"> “WCO </w:t>
      </w:r>
      <w:proofErr w:type="spellStart"/>
      <w:r>
        <w:rPr>
          <w:rFonts w:ascii="Times New Roman" w:hAnsi="Times New Roman" w:cs="Times New Roman"/>
          <w:sz w:val="28"/>
          <w:szCs w:val="28"/>
          <w:lang w:val="az-Latn-AZ"/>
        </w:rPr>
        <w:t>Trade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Tools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Valuation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Compendium</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Brussels</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World</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Organization</w:t>
      </w:r>
      <w:proofErr w:type="spellEnd"/>
      <w:r>
        <w:rPr>
          <w:rFonts w:ascii="Times New Roman" w:hAnsi="Times New Roman" w:cs="Times New Roman"/>
          <w:sz w:val="28"/>
          <w:szCs w:val="28"/>
          <w:lang w:val="az-Latn-AZ"/>
        </w:rPr>
        <w:t>”, 2023, 200 p.</w:t>
      </w:r>
    </w:p>
    <w:p w14:paraId="24D0B13F"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Zake</w:t>
      </w:r>
      <w:proofErr w:type="spellEnd"/>
      <w:r>
        <w:rPr>
          <w:rFonts w:ascii="Times New Roman" w:hAnsi="Times New Roman" w:cs="Times New Roman"/>
          <w:sz w:val="28"/>
          <w:szCs w:val="28"/>
          <w:lang w:val="az-Latn-AZ"/>
        </w:rPr>
        <w:t xml:space="preserve"> J.O.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Administration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Reform</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Modernization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Anglophone</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Africa</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Early</w:t>
      </w:r>
      <w:proofErr w:type="spellEnd"/>
      <w:r>
        <w:rPr>
          <w:rFonts w:ascii="Times New Roman" w:hAnsi="Times New Roman" w:cs="Times New Roman"/>
          <w:sz w:val="28"/>
          <w:szCs w:val="28"/>
          <w:lang w:val="az-Latn-AZ"/>
        </w:rPr>
        <w:t xml:space="preserve"> 1990's </w:t>
      </w:r>
      <w:proofErr w:type="spellStart"/>
      <w:r>
        <w:rPr>
          <w:rFonts w:ascii="Times New Roman" w:hAnsi="Times New Roman" w:cs="Times New Roman"/>
          <w:sz w:val="28"/>
          <w:szCs w:val="28"/>
          <w:lang w:val="az-Latn-AZ"/>
        </w:rPr>
        <w:t>to</w:t>
      </w:r>
      <w:proofErr w:type="spellEnd"/>
      <w:r>
        <w:rPr>
          <w:rFonts w:ascii="Times New Roman" w:hAnsi="Times New Roman" w:cs="Times New Roman"/>
          <w:sz w:val="28"/>
          <w:szCs w:val="28"/>
          <w:lang w:val="az-Latn-AZ"/>
        </w:rPr>
        <w:t xml:space="preserve"> Mid-2010”,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Monetary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Fund</w:t>
      </w:r>
      <w:proofErr w:type="spellEnd"/>
      <w:r>
        <w:rPr>
          <w:rFonts w:ascii="Times New Roman" w:hAnsi="Times New Roman" w:cs="Times New Roman"/>
          <w:sz w:val="28"/>
          <w:szCs w:val="28"/>
          <w:lang w:val="az-Latn-AZ"/>
        </w:rPr>
        <w:t>”, 2011, 150 p.</w:t>
      </w:r>
    </w:p>
    <w:p w14:paraId="752C770E" w14:textId="77777777" w:rsidR="001F6AF2" w:rsidRDefault="00000000">
      <w:pPr>
        <w:pStyle w:val="ListParagraph"/>
        <w:numPr>
          <w:ilvl w:val="0"/>
          <w:numId w:val="2"/>
        </w:numPr>
        <w:tabs>
          <w:tab w:val="left" w:pos="851"/>
          <w:tab w:val="left" w:pos="1276"/>
        </w:tabs>
        <w:spacing w:after="0" w:line="360" w:lineRule="auto"/>
        <w:ind w:left="0" w:firstLine="567"/>
        <w:jc w:val="both"/>
        <w:rPr>
          <w:rFonts w:ascii="Times New Roman" w:hAnsi="Times New Roman" w:cs="Times New Roman"/>
          <w:sz w:val="28"/>
          <w:szCs w:val="28"/>
          <w:lang w:val="az-Latn-AZ"/>
        </w:rPr>
      </w:pPr>
      <w:proofErr w:type="spellStart"/>
      <w:r>
        <w:rPr>
          <w:rFonts w:ascii="Times New Roman" w:hAnsi="Times New Roman" w:cs="Times New Roman"/>
          <w:sz w:val="28"/>
          <w:szCs w:val="28"/>
          <w:lang w:val="az-Latn-AZ"/>
        </w:rPr>
        <w:t>Zake</w:t>
      </w:r>
      <w:proofErr w:type="spellEnd"/>
      <w:r>
        <w:rPr>
          <w:rFonts w:ascii="Times New Roman" w:hAnsi="Times New Roman" w:cs="Times New Roman"/>
          <w:sz w:val="28"/>
          <w:szCs w:val="28"/>
          <w:lang w:val="az-Latn-AZ"/>
        </w:rPr>
        <w:t xml:space="preserve"> J.O. “</w:t>
      </w:r>
      <w:proofErr w:type="spellStart"/>
      <w:r>
        <w:rPr>
          <w:rFonts w:ascii="Times New Roman" w:hAnsi="Times New Roman" w:cs="Times New Roman"/>
          <w:sz w:val="28"/>
          <w:szCs w:val="28"/>
          <w:lang w:val="az-Latn-AZ"/>
        </w:rPr>
        <w:t>Customs</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Administration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Reform</w:t>
      </w:r>
      <w:proofErr w:type="spellEnd"/>
      <w:r>
        <w:rPr>
          <w:rFonts w:ascii="Times New Roman" w:hAnsi="Times New Roman" w:cs="Times New Roman"/>
          <w:sz w:val="28"/>
          <w:szCs w:val="28"/>
          <w:lang w:val="az-Latn-AZ"/>
        </w:rPr>
        <w:t xml:space="preserve"> and </w:t>
      </w:r>
      <w:proofErr w:type="spellStart"/>
      <w:r>
        <w:rPr>
          <w:rFonts w:ascii="Times New Roman" w:hAnsi="Times New Roman" w:cs="Times New Roman"/>
          <w:sz w:val="28"/>
          <w:szCs w:val="28"/>
          <w:lang w:val="az-Latn-AZ"/>
        </w:rPr>
        <w:t>Modernization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in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Sub-Saharan</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Africa</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Washington</w:t>
      </w:r>
      <w:proofErr w:type="spellEnd"/>
      <w:r>
        <w:rPr>
          <w:rFonts w:ascii="Times New Roman" w:hAnsi="Times New Roman" w:cs="Times New Roman"/>
          <w:sz w:val="28"/>
          <w:szCs w:val="28"/>
          <w:lang w:val="az-Latn-AZ"/>
        </w:rPr>
        <w:t>, “</w:t>
      </w:r>
      <w:proofErr w:type="spellStart"/>
      <w:r>
        <w:rPr>
          <w:rFonts w:ascii="Times New Roman" w:hAnsi="Times New Roman" w:cs="Times New Roman"/>
          <w:sz w:val="28"/>
          <w:szCs w:val="28"/>
          <w:lang w:val="az-Latn-AZ"/>
        </w:rPr>
        <w:t>International</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Monetary</w:t>
      </w:r>
      <w:proofErr w:type="spellEnd"/>
      <w:r>
        <w:rPr>
          <w:rFonts w:ascii="Times New Roman" w:hAnsi="Times New Roman" w:cs="Times New Roman"/>
          <w:sz w:val="28"/>
          <w:szCs w:val="28"/>
          <w:lang w:val="az-Latn-AZ"/>
        </w:rPr>
        <w:t xml:space="preserve"> </w:t>
      </w:r>
      <w:proofErr w:type="spellStart"/>
      <w:r>
        <w:rPr>
          <w:rFonts w:ascii="Times New Roman" w:hAnsi="Times New Roman" w:cs="Times New Roman"/>
          <w:sz w:val="28"/>
          <w:szCs w:val="28"/>
          <w:lang w:val="az-Latn-AZ"/>
        </w:rPr>
        <w:t>Fund</w:t>
      </w:r>
      <w:proofErr w:type="spellEnd"/>
      <w:r>
        <w:rPr>
          <w:rFonts w:ascii="Times New Roman" w:hAnsi="Times New Roman" w:cs="Times New Roman"/>
          <w:sz w:val="28"/>
          <w:szCs w:val="28"/>
          <w:lang w:val="az-Latn-AZ"/>
        </w:rPr>
        <w:t>”, 2016, 200 p.</w:t>
      </w:r>
    </w:p>
    <w:bookmarkEnd w:id="3"/>
    <w:p w14:paraId="45E044A1" w14:textId="77777777" w:rsidR="001F6AF2" w:rsidRDefault="00000000">
      <w:pPr>
        <w:pStyle w:val="ListParagraph"/>
        <w:tabs>
          <w:tab w:val="left" w:pos="851"/>
          <w:tab w:val="left" w:pos="1276"/>
        </w:tabs>
        <w:spacing w:after="0" w:line="360" w:lineRule="auto"/>
        <w:ind w:left="454"/>
        <w:jc w:val="center"/>
        <w:rPr>
          <w:rFonts w:ascii="Times New Roman" w:hAnsi="Times New Roman" w:cs="Times New Roman"/>
          <w:b/>
          <w:bCs/>
          <w:i/>
          <w:iCs/>
          <w:sz w:val="28"/>
          <w:szCs w:val="28"/>
          <w:lang w:val="tr-TR"/>
        </w:rPr>
      </w:pPr>
      <w:r>
        <w:rPr>
          <w:rFonts w:ascii="Times New Roman" w:hAnsi="Times New Roman" w:cs="Times New Roman"/>
          <w:b/>
          <w:bCs/>
          <w:i/>
          <w:iCs/>
          <w:sz w:val="28"/>
          <w:szCs w:val="28"/>
          <w:lang w:val="tr-TR"/>
        </w:rPr>
        <w:t>İnternet resursları</w:t>
      </w:r>
    </w:p>
    <w:p w14:paraId="47B5A7BC"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European Commission — EU Single Window Environment for Customs: https://taxation-customs.ec.europa.eu/cust</w:t>
      </w:r>
    </w:p>
    <w:p w14:paraId="1EF0A992"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European Commission — Taxation and Customs Union — EU Single Window for Customs: https://taxation-customs.ec.europa.eu/customs/customs-controls/eu-single-window-environment-customs_en</w:t>
      </w:r>
    </w:p>
    <w:p w14:paraId="11A60A74"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https</w:t>
      </w:r>
      <w:r>
        <w:rPr>
          <w:rFonts w:ascii="Times New Roman" w:hAnsi="Times New Roman" w:cs="Times New Roman"/>
          <w:sz w:val="28"/>
          <w:szCs w:val="28"/>
          <w:highlight w:val="yellow"/>
        </w:rPr>
        <w:t>://www.stat.gov.az/source/trade/</w:t>
      </w:r>
    </w:p>
    <w:p w14:paraId="29EBB166"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OECD — The </w:t>
      </w:r>
      <w:proofErr w:type="spellStart"/>
      <w:r>
        <w:rPr>
          <w:rFonts w:ascii="Times New Roman" w:hAnsi="Times New Roman" w:cs="Times New Roman"/>
          <w:sz w:val="28"/>
          <w:szCs w:val="28"/>
        </w:rPr>
        <w:t>Digitalisation</w:t>
      </w:r>
      <w:proofErr w:type="spellEnd"/>
      <w:r>
        <w:rPr>
          <w:rFonts w:ascii="Times New Roman" w:hAnsi="Times New Roman" w:cs="Times New Roman"/>
          <w:sz w:val="28"/>
          <w:szCs w:val="28"/>
        </w:rPr>
        <w:t xml:space="preserve"> of Trade Documents and Processes (2025): https://www.oecd.org/en/publications/the-digitalisation-of-trade-documents-and-processes_64872f25-en</w:t>
      </w:r>
    </w:p>
    <w:p w14:paraId="520164CE"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OECD — The </w:t>
      </w:r>
      <w:proofErr w:type="spellStart"/>
      <w:r>
        <w:rPr>
          <w:rFonts w:ascii="Times New Roman" w:hAnsi="Times New Roman" w:cs="Times New Roman"/>
          <w:sz w:val="28"/>
          <w:szCs w:val="28"/>
        </w:rPr>
        <w:t>Digitalisation</w:t>
      </w:r>
      <w:proofErr w:type="spellEnd"/>
      <w:r>
        <w:rPr>
          <w:rFonts w:ascii="Times New Roman" w:hAnsi="Times New Roman" w:cs="Times New Roman"/>
          <w:sz w:val="28"/>
          <w:szCs w:val="28"/>
        </w:rPr>
        <w:t xml:space="preserve"> of Trade Documents and Processes (2025): https://www.oecd.org/en/publications/the-digitalisation-of-trade-documents-and-processes_64872f25-en</w:t>
      </w:r>
    </w:p>
    <w:p w14:paraId="1A850902"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Organisation</w:t>
      </w:r>
      <w:proofErr w:type="spellEnd"/>
      <w:r>
        <w:rPr>
          <w:rFonts w:ascii="Times New Roman" w:hAnsi="Times New Roman" w:cs="Times New Roman"/>
          <w:sz w:val="28"/>
          <w:szCs w:val="28"/>
        </w:rPr>
        <w:t xml:space="preserve"> for Economic Co-operation and Development (OECD). Trade Facilitation Indicators: Policy Monitoring to 2025. Paris: OECD Publishing, 2025. https://www.oecd.org/en/topics/sub-issues/trade-facilitation.html</w:t>
      </w:r>
    </w:p>
    <w:p w14:paraId="7CB740DA"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UNCTAD — Transport and Trade Facilitation, Series No. 17 (2021): https://unctad.org/system/files/official-document/dtltlb2021d4_en.pdf</w:t>
      </w:r>
    </w:p>
    <w:p w14:paraId="1D3FF511"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UNCTAD — Transport and Trade Facilitation, Series No. 17: https://unctad.org/system/files/official-document/dtltlb2021d4_en.pdf</w:t>
      </w:r>
    </w:p>
    <w:p w14:paraId="39A9490B"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UNECE — Risk-Based Border Control: Process Improvement: https://unece.org/sites/default/files/2024-02/ECE_CTCS_WP.6_2021_INF.1.pdf</w:t>
      </w:r>
    </w:p>
    <w:p w14:paraId="2E6409DB"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UNECE — Working Paper on Border Control (2024): https://unece.org/sites/default/files/2024-02/ECE_CTCS_WP.6_2021_INF.1.pdf</w:t>
      </w:r>
    </w:p>
    <w:p w14:paraId="4EDAEEC0"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World Bank Group — Good Practices on Trade Cross-Border Procedures: https://subnational.doingbusiness.org/en/data/exploretopics/trading-across-borders/good-practices</w:t>
      </w:r>
    </w:p>
    <w:p w14:paraId="40060D92"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World Customs Organization (WCO) — SAFE Framework of Standards (2023): https://www.wcoomd.org/en/topics/facilitation/instrument-and-tools/frameworks-of-standards/safe_package.aspx</w:t>
      </w:r>
    </w:p>
    <w:p w14:paraId="4343815E"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World Customs Organization (WCO). SAFE Framework of Standards to Secure and Facilitate Global Trade. Brussels: WCO, 2021 (updated 2023). https://www.wcoomd.org/en/topics/facilitation/instrument-and-tools/frameworks-of-standards/safe_package.aspx</w:t>
      </w:r>
    </w:p>
    <w:p w14:paraId="0FC6B922"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World Trade Organization (WTO) — Trade Facilitation Agreement, Implementation Status: https://www.wto.org/english/tratop_e/tradfa_e/tradfa_e.htm</w:t>
      </w:r>
    </w:p>
    <w:p w14:paraId="55B919DA" w14:textId="77777777" w:rsidR="001F6AF2" w:rsidRDefault="00000000">
      <w:pPr>
        <w:pStyle w:val="ListParagraph"/>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World Trade Organization (WTO). Trade Facilitation Agreement: Implementation Status and Technical Assistance Priorities. Geneva: WTO Secretariat, 2023. https://www.wto.org/english/tratop_e/tradfa_e/tradfa_e.htm</w:t>
      </w:r>
    </w:p>
    <w:p w14:paraId="3921AB7E" w14:textId="77777777" w:rsidR="001F6AF2" w:rsidRDefault="001F6AF2">
      <w:pPr>
        <w:spacing w:after="0" w:line="360" w:lineRule="auto"/>
        <w:ind w:firstLine="567"/>
        <w:jc w:val="both"/>
        <w:rPr>
          <w:rFonts w:ascii="Times New Roman" w:hAnsi="Times New Roman" w:cs="Times New Roman"/>
          <w:b/>
          <w:bCs/>
          <w:sz w:val="28"/>
          <w:szCs w:val="28"/>
        </w:rPr>
      </w:pPr>
    </w:p>
    <w:p w14:paraId="5BBCDECF" w14:textId="77777777" w:rsidR="001F6AF2" w:rsidRDefault="001F6AF2">
      <w:pPr>
        <w:spacing w:after="0" w:line="360" w:lineRule="auto"/>
        <w:ind w:firstLine="709"/>
        <w:jc w:val="both"/>
        <w:rPr>
          <w:rFonts w:ascii="Times New Roman" w:hAnsi="Times New Roman" w:cs="Times New Roman"/>
          <w:b/>
          <w:bCs/>
          <w:sz w:val="28"/>
          <w:szCs w:val="28"/>
        </w:rPr>
      </w:pPr>
    </w:p>
    <w:p w14:paraId="77BC8376" w14:textId="77777777" w:rsidR="001F6AF2" w:rsidRDefault="001F6AF2">
      <w:pPr>
        <w:spacing w:after="0" w:line="360" w:lineRule="auto"/>
        <w:ind w:firstLine="709"/>
        <w:jc w:val="both"/>
        <w:rPr>
          <w:rFonts w:ascii="Times New Roman" w:hAnsi="Times New Roman" w:cs="Times New Roman"/>
          <w:b/>
          <w:bCs/>
          <w:sz w:val="28"/>
          <w:szCs w:val="28"/>
        </w:rPr>
      </w:pPr>
    </w:p>
    <w:p w14:paraId="160C4506" w14:textId="77777777" w:rsidR="001F6AF2" w:rsidRDefault="001F6AF2">
      <w:pPr>
        <w:spacing w:after="0" w:line="360" w:lineRule="auto"/>
        <w:ind w:firstLine="709"/>
        <w:jc w:val="both"/>
        <w:rPr>
          <w:rFonts w:ascii="Times New Roman" w:hAnsi="Times New Roman" w:cs="Times New Roman"/>
          <w:b/>
          <w:bCs/>
          <w:sz w:val="28"/>
          <w:szCs w:val="28"/>
        </w:rPr>
      </w:pPr>
    </w:p>
    <w:p w14:paraId="6FC0B418" w14:textId="77777777" w:rsidR="001F6AF2" w:rsidRDefault="001F6AF2">
      <w:pPr>
        <w:spacing w:after="0" w:line="360" w:lineRule="auto"/>
        <w:ind w:firstLine="709"/>
        <w:jc w:val="both"/>
        <w:rPr>
          <w:rFonts w:ascii="Times New Roman" w:hAnsi="Times New Roman" w:cs="Times New Roman"/>
          <w:b/>
          <w:bCs/>
          <w:sz w:val="28"/>
          <w:szCs w:val="28"/>
        </w:rPr>
      </w:pPr>
    </w:p>
    <w:p w14:paraId="4EC9F068" w14:textId="77777777" w:rsidR="001F6AF2" w:rsidRDefault="001F6AF2">
      <w:pPr>
        <w:spacing w:after="0" w:line="360" w:lineRule="auto"/>
        <w:ind w:firstLine="709"/>
        <w:jc w:val="both"/>
        <w:rPr>
          <w:rFonts w:ascii="Times New Roman" w:hAnsi="Times New Roman" w:cs="Times New Roman"/>
          <w:b/>
          <w:bCs/>
          <w:sz w:val="28"/>
          <w:szCs w:val="28"/>
        </w:rPr>
      </w:pPr>
    </w:p>
    <w:p w14:paraId="3418B101" w14:textId="77777777" w:rsidR="001F6AF2" w:rsidRDefault="001F6AF2">
      <w:pPr>
        <w:spacing w:after="0" w:line="360" w:lineRule="auto"/>
        <w:ind w:firstLine="709"/>
        <w:jc w:val="both"/>
        <w:rPr>
          <w:rFonts w:ascii="Times New Roman" w:hAnsi="Times New Roman" w:cs="Times New Roman"/>
          <w:b/>
          <w:bCs/>
          <w:sz w:val="28"/>
          <w:szCs w:val="28"/>
        </w:rPr>
      </w:pPr>
    </w:p>
    <w:p w14:paraId="324B4A6E" w14:textId="77777777" w:rsidR="001F6AF2" w:rsidRDefault="001F6AF2">
      <w:pPr>
        <w:spacing w:after="0" w:line="360" w:lineRule="auto"/>
        <w:jc w:val="both"/>
        <w:rPr>
          <w:rFonts w:ascii="Times New Roman" w:hAnsi="Times New Roman" w:cs="Times New Roman"/>
          <w:b/>
          <w:bCs/>
          <w:sz w:val="28"/>
          <w:szCs w:val="28"/>
        </w:rPr>
      </w:pPr>
    </w:p>
    <w:sectPr w:rsidR="001F6AF2">
      <w:pgSz w:w="11906" w:h="16838"/>
      <w:pgMar w:top="1134" w:right="851" w:bottom="1134" w:left="1701" w:header="1020" w:footer="709" w:gutter="0"/>
      <w:pgNumType w:start="1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8AEF4B" w14:textId="77777777" w:rsidR="00485018" w:rsidRDefault="00485018">
      <w:pPr>
        <w:spacing w:line="240" w:lineRule="auto"/>
      </w:pPr>
      <w:r>
        <w:separator/>
      </w:r>
    </w:p>
  </w:endnote>
  <w:endnote w:type="continuationSeparator" w:id="0">
    <w:p w14:paraId="73EB5DDA" w14:textId="77777777" w:rsidR="00485018" w:rsidRDefault="004850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00"/>
    <w:family w:val="auto"/>
    <w:pitch w:val="default"/>
  </w:font>
  <w:font w:name="Calibri Light">
    <w:panose1 w:val="020F0302020204030204"/>
    <w:charset w:val="00"/>
    <w:family w:val="swiss"/>
    <w:pitch w:val="variable"/>
    <w:sig w:usb0="A00002EF" w:usb1="4000207B" w:usb2="00000000" w:usb3="00000000" w:csb0="0000019F" w:csb1="00000000"/>
  </w:font>
  <w:font w:name="等线 Light">
    <w:altName w:val="Segoe Print"/>
    <w:charset w:val="00"/>
    <w:family w:val="auto"/>
    <w:pitch w:val="default"/>
  </w:font>
  <w:font w:name="DengXian">
    <w:panose1 w:val="02010600030101010101"/>
    <w:charset w:val="86"/>
    <w:family w:val="auto"/>
    <w:pitch w:val="variable"/>
    <w:sig w:usb0="A00002BF" w:usb1="38CF7CFA" w:usb2="00000016" w:usb3="00000000" w:csb0="0004000F" w:csb1="00000000"/>
  </w:font>
  <w:font w:name="Cambria Math">
    <w:panose1 w:val="00000000000000000000"/>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6072890"/>
      <w:docPartObj>
        <w:docPartGallery w:val="AutoText"/>
      </w:docPartObj>
    </w:sdtPr>
    <w:sdtContent>
      <w:p w14:paraId="504273F0" w14:textId="77777777" w:rsidR="001F6AF2" w:rsidRDefault="00000000">
        <w:pPr>
          <w:pStyle w:val="Footer"/>
          <w:jc w:val="right"/>
        </w:pPr>
        <w:r>
          <w:fldChar w:fldCharType="begin"/>
        </w:r>
        <w:r>
          <w:instrText>PAGE   \* MERGEFORMAT</w:instrText>
        </w:r>
        <w:r>
          <w:fldChar w:fldCharType="separate"/>
        </w:r>
        <w:r>
          <w:rPr>
            <w:lang w:val="tr-TR"/>
          </w:rPr>
          <w:t>2</w:t>
        </w:r>
        <w:r>
          <w:fldChar w:fldCharType="end"/>
        </w:r>
      </w:p>
    </w:sdtContent>
  </w:sdt>
  <w:p w14:paraId="20669721" w14:textId="77777777" w:rsidR="001F6AF2" w:rsidRDefault="001F6A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42186368"/>
      <w:docPartObj>
        <w:docPartGallery w:val="AutoText"/>
      </w:docPartObj>
    </w:sdtPr>
    <w:sdtContent>
      <w:p w14:paraId="698B1EAE" w14:textId="77777777" w:rsidR="001F6AF2" w:rsidRDefault="00000000">
        <w:pPr>
          <w:pStyle w:val="Footer"/>
          <w:jc w:val="right"/>
        </w:pPr>
        <w:r>
          <w:fldChar w:fldCharType="begin"/>
        </w:r>
        <w:r>
          <w:instrText>PAGE   \* MERGEFORMAT</w:instrText>
        </w:r>
        <w:r>
          <w:fldChar w:fldCharType="separate"/>
        </w:r>
        <w:r>
          <w:rPr>
            <w:lang w:val="tr-TR"/>
          </w:rPr>
          <w:t>2</w:t>
        </w:r>
        <w:r>
          <w:fldChar w:fldCharType="end"/>
        </w:r>
      </w:p>
    </w:sdtContent>
  </w:sdt>
  <w:p w14:paraId="1924E94E" w14:textId="77777777" w:rsidR="001F6AF2" w:rsidRDefault="001F6A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1D3B9F" w14:textId="77777777" w:rsidR="00485018" w:rsidRDefault="00485018">
      <w:pPr>
        <w:spacing w:after="0"/>
      </w:pPr>
      <w:r>
        <w:separator/>
      </w:r>
    </w:p>
  </w:footnote>
  <w:footnote w:type="continuationSeparator" w:id="0">
    <w:p w14:paraId="0D21FE2B" w14:textId="77777777" w:rsidR="00485018" w:rsidRDefault="00485018">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CFE4DED"/>
    <w:multiLevelType w:val="multilevel"/>
    <w:tmpl w:val="5CFE4DED"/>
    <w:lvl w:ilvl="0">
      <w:start w:val="1"/>
      <w:numFmt w:val="decimal"/>
      <w:suff w:val="nothing"/>
      <w:lvlText w:val="%1."/>
      <w:lvlJc w:val="left"/>
      <w:pPr>
        <w:ind w:left="720" w:hanging="360"/>
      </w:pPr>
      <w:rPr>
        <w:rFonts w:hint="default"/>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699B3EA6"/>
    <w:multiLevelType w:val="multilevel"/>
    <w:tmpl w:val="699B3EA6"/>
    <w:lvl w:ilvl="0">
      <w:start w:val="1"/>
      <w:numFmt w:val="decimal"/>
      <w:suff w:val="nothing"/>
      <w:lvlText w:val="%1."/>
      <w:lvlJc w:val="left"/>
      <w:pPr>
        <w:ind w:left="720" w:hanging="360"/>
      </w:pPr>
      <w:rPr>
        <w:rFonts w:hint="default"/>
      </w:rPr>
    </w:lvl>
    <w:lvl w:ilvl="1">
      <w:start w:val="1"/>
      <w:numFmt w:val="decimal"/>
      <w:lvlText w:val="%2."/>
      <w:lvlJc w:val="left"/>
      <w:pPr>
        <w:tabs>
          <w:tab w:val="left" w:pos="1440"/>
        </w:tabs>
        <w:ind w:left="1440" w:hanging="360"/>
      </w:pPr>
      <w:rPr>
        <w:rFonts w:hint="default"/>
      </w:rPr>
    </w:lvl>
    <w:lvl w:ilvl="2">
      <w:start w:val="1"/>
      <w:numFmt w:val="decimal"/>
      <w:lvlText w:val="%3."/>
      <w:lvlJc w:val="left"/>
      <w:pPr>
        <w:tabs>
          <w:tab w:val="left" w:pos="2160"/>
        </w:tabs>
        <w:ind w:left="2160" w:hanging="360"/>
      </w:pPr>
      <w:rPr>
        <w:rFonts w:hint="default"/>
      </w:rPr>
    </w:lvl>
    <w:lvl w:ilvl="3">
      <w:start w:val="1"/>
      <w:numFmt w:val="decimal"/>
      <w:lvlText w:val="%4."/>
      <w:lvlJc w:val="left"/>
      <w:pPr>
        <w:tabs>
          <w:tab w:val="left" w:pos="2880"/>
        </w:tabs>
        <w:ind w:left="2880" w:hanging="360"/>
      </w:pPr>
      <w:rPr>
        <w:rFonts w:hint="default"/>
      </w:rPr>
    </w:lvl>
    <w:lvl w:ilvl="4">
      <w:start w:val="1"/>
      <w:numFmt w:val="decimal"/>
      <w:lvlText w:val="%5."/>
      <w:lvlJc w:val="left"/>
      <w:pPr>
        <w:tabs>
          <w:tab w:val="left" w:pos="3600"/>
        </w:tabs>
        <w:ind w:left="3600" w:hanging="360"/>
      </w:pPr>
      <w:rPr>
        <w:rFonts w:hint="default"/>
      </w:rPr>
    </w:lvl>
    <w:lvl w:ilvl="5">
      <w:start w:val="1"/>
      <w:numFmt w:val="decimal"/>
      <w:lvlText w:val="%6."/>
      <w:lvlJc w:val="left"/>
      <w:pPr>
        <w:tabs>
          <w:tab w:val="left" w:pos="4320"/>
        </w:tabs>
        <w:ind w:left="4320" w:hanging="360"/>
      </w:pPr>
      <w:rPr>
        <w:rFonts w:hint="default"/>
      </w:rPr>
    </w:lvl>
    <w:lvl w:ilvl="6">
      <w:start w:val="1"/>
      <w:numFmt w:val="decimal"/>
      <w:lvlText w:val="%7."/>
      <w:lvlJc w:val="left"/>
      <w:pPr>
        <w:tabs>
          <w:tab w:val="left" w:pos="5040"/>
        </w:tabs>
        <w:ind w:left="5040" w:hanging="360"/>
      </w:pPr>
      <w:rPr>
        <w:rFonts w:hint="default"/>
      </w:rPr>
    </w:lvl>
    <w:lvl w:ilvl="7">
      <w:start w:val="1"/>
      <w:numFmt w:val="decimal"/>
      <w:lvlText w:val="%8."/>
      <w:lvlJc w:val="left"/>
      <w:pPr>
        <w:tabs>
          <w:tab w:val="left" w:pos="5760"/>
        </w:tabs>
        <w:ind w:left="5760" w:hanging="360"/>
      </w:pPr>
      <w:rPr>
        <w:rFonts w:hint="default"/>
      </w:rPr>
    </w:lvl>
    <w:lvl w:ilvl="8">
      <w:start w:val="1"/>
      <w:numFmt w:val="decimal"/>
      <w:lvlText w:val="%9."/>
      <w:lvlJc w:val="left"/>
      <w:pPr>
        <w:tabs>
          <w:tab w:val="left" w:pos="6480"/>
        </w:tabs>
        <w:ind w:left="6480" w:hanging="360"/>
      </w:pPr>
      <w:rPr>
        <w:rFonts w:hint="default"/>
      </w:rPr>
    </w:lvl>
  </w:abstractNum>
  <w:num w:numId="1" w16cid:durableId="1934239211">
    <w:abstractNumId w:val="1"/>
  </w:num>
  <w:num w:numId="2" w16cid:durableId="6640124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552"/>
    <w:rsid w:val="00011A56"/>
    <w:rsid w:val="00034F42"/>
    <w:rsid w:val="000415ED"/>
    <w:rsid w:val="000422B3"/>
    <w:rsid w:val="00047423"/>
    <w:rsid w:val="00047428"/>
    <w:rsid w:val="0004778B"/>
    <w:rsid w:val="00056822"/>
    <w:rsid w:val="00070D87"/>
    <w:rsid w:val="00071398"/>
    <w:rsid w:val="00072E57"/>
    <w:rsid w:val="00080F2A"/>
    <w:rsid w:val="00096BB3"/>
    <w:rsid w:val="000A290B"/>
    <w:rsid w:val="000A47D9"/>
    <w:rsid w:val="000B4CED"/>
    <w:rsid w:val="000B6DAA"/>
    <w:rsid w:val="000D340C"/>
    <w:rsid w:val="000D464F"/>
    <w:rsid w:val="000D7B9A"/>
    <w:rsid w:val="000F319E"/>
    <w:rsid w:val="00100A51"/>
    <w:rsid w:val="00101784"/>
    <w:rsid w:val="0010427B"/>
    <w:rsid w:val="00106090"/>
    <w:rsid w:val="00114177"/>
    <w:rsid w:val="00115207"/>
    <w:rsid w:val="00115E2D"/>
    <w:rsid w:val="001170D6"/>
    <w:rsid w:val="00120E41"/>
    <w:rsid w:val="001503CD"/>
    <w:rsid w:val="00153D53"/>
    <w:rsid w:val="001660D9"/>
    <w:rsid w:val="0019472A"/>
    <w:rsid w:val="0019682D"/>
    <w:rsid w:val="00197751"/>
    <w:rsid w:val="001C5E0E"/>
    <w:rsid w:val="001D772B"/>
    <w:rsid w:val="001E3516"/>
    <w:rsid w:val="001E5705"/>
    <w:rsid w:val="001F3562"/>
    <w:rsid w:val="001F6AF2"/>
    <w:rsid w:val="001F6FC2"/>
    <w:rsid w:val="002018B9"/>
    <w:rsid w:val="00202F09"/>
    <w:rsid w:val="0020359F"/>
    <w:rsid w:val="00203783"/>
    <w:rsid w:val="00204400"/>
    <w:rsid w:val="002410DC"/>
    <w:rsid w:val="00245FDF"/>
    <w:rsid w:val="00276F6A"/>
    <w:rsid w:val="00280A6A"/>
    <w:rsid w:val="0028238F"/>
    <w:rsid w:val="00285748"/>
    <w:rsid w:val="00285DFC"/>
    <w:rsid w:val="002919DC"/>
    <w:rsid w:val="002A1CDB"/>
    <w:rsid w:val="002A2801"/>
    <w:rsid w:val="002A3320"/>
    <w:rsid w:val="002B1E67"/>
    <w:rsid w:val="002B443E"/>
    <w:rsid w:val="002B57DB"/>
    <w:rsid w:val="002D3C3F"/>
    <w:rsid w:val="002F5490"/>
    <w:rsid w:val="002F6662"/>
    <w:rsid w:val="00302148"/>
    <w:rsid w:val="00302AAF"/>
    <w:rsid w:val="003033FB"/>
    <w:rsid w:val="003101E8"/>
    <w:rsid w:val="00310A47"/>
    <w:rsid w:val="00312D58"/>
    <w:rsid w:val="00317DD1"/>
    <w:rsid w:val="00333622"/>
    <w:rsid w:val="00333A3F"/>
    <w:rsid w:val="00353A4F"/>
    <w:rsid w:val="0035713F"/>
    <w:rsid w:val="003707E4"/>
    <w:rsid w:val="00382156"/>
    <w:rsid w:val="00390387"/>
    <w:rsid w:val="00390A26"/>
    <w:rsid w:val="003A2D7E"/>
    <w:rsid w:val="003A4A39"/>
    <w:rsid w:val="003B3C9C"/>
    <w:rsid w:val="003C2C6C"/>
    <w:rsid w:val="003C6D4F"/>
    <w:rsid w:val="003C7DA0"/>
    <w:rsid w:val="003E0AB7"/>
    <w:rsid w:val="003E1081"/>
    <w:rsid w:val="003E64D5"/>
    <w:rsid w:val="003F1268"/>
    <w:rsid w:val="004010E4"/>
    <w:rsid w:val="004011E3"/>
    <w:rsid w:val="0040157B"/>
    <w:rsid w:val="00404E8A"/>
    <w:rsid w:val="0040567E"/>
    <w:rsid w:val="00405CAC"/>
    <w:rsid w:val="00410DBC"/>
    <w:rsid w:val="00413D43"/>
    <w:rsid w:val="00415CE6"/>
    <w:rsid w:val="00422600"/>
    <w:rsid w:val="0042737D"/>
    <w:rsid w:val="00431ED7"/>
    <w:rsid w:val="00446BFB"/>
    <w:rsid w:val="00447CB9"/>
    <w:rsid w:val="00447EFA"/>
    <w:rsid w:val="00451E35"/>
    <w:rsid w:val="00452252"/>
    <w:rsid w:val="00455B47"/>
    <w:rsid w:val="00457FA1"/>
    <w:rsid w:val="00462A54"/>
    <w:rsid w:val="004652E1"/>
    <w:rsid w:val="0047678D"/>
    <w:rsid w:val="00476AC6"/>
    <w:rsid w:val="00485018"/>
    <w:rsid w:val="004954BF"/>
    <w:rsid w:val="004B1219"/>
    <w:rsid w:val="004B711F"/>
    <w:rsid w:val="004E549F"/>
    <w:rsid w:val="00500B45"/>
    <w:rsid w:val="00510EF0"/>
    <w:rsid w:val="0051599D"/>
    <w:rsid w:val="00535D2A"/>
    <w:rsid w:val="005410D0"/>
    <w:rsid w:val="00543423"/>
    <w:rsid w:val="00555C39"/>
    <w:rsid w:val="00565480"/>
    <w:rsid w:val="0056549C"/>
    <w:rsid w:val="00587F99"/>
    <w:rsid w:val="005949C1"/>
    <w:rsid w:val="005A19DB"/>
    <w:rsid w:val="005A47CA"/>
    <w:rsid w:val="005B584F"/>
    <w:rsid w:val="005B60D9"/>
    <w:rsid w:val="005C2F45"/>
    <w:rsid w:val="005D089D"/>
    <w:rsid w:val="005D3B81"/>
    <w:rsid w:val="005E748A"/>
    <w:rsid w:val="005F5AAE"/>
    <w:rsid w:val="005F77C3"/>
    <w:rsid w:val="006022E9"/>
    <w:rsid w:val="0063776D"/>
    <w:rsid w:val="0065565D"/>
    <w:rsid w:val="006637EE"/>
    <w:rsid w:val="00663BCF"/>
    <w:rsid w:val="00664F65"/>
    <w:rsid w:val="006655A2"/>
    <w:rsid w:val="00665C4F"/>
    <w:rsid w:val="00667641"/>
    <w:rsid w:val="00674308"/>
    <w:rsid w:val="006819DB"/>
    <w:rsid w:val="0068384C"/>
    <w:rsid w:val="006A75DC"/>
    <w:rsid w:val="006B17F0"/>
    <w:rsid w:val="006B3559"/>
    <w:rsid w:val="006B39EC"/>
    <w:rsid w:val="006B5047"/>
    <w:rsid w:val="006B51DC"/>
    <w:rsid w:val="006B5B8D"/>
    <w:rsid w:val="006C0560"/>
    <w:rsid w:val="006D5D87"/>
    <w:rsid w:val="006D710B"/>
    <w:rsid w:val="006F0A08"/>
    <w:rsid w:val="006F2066"/>
    <w:rsid w:val="006F74F1"/>
    <w:rsid w:val="00701CB6"/>
    <w:rsid w:val="00704862"/>
    <w:rsid w:val="00712C25"/>
    <w:rsid w:val="0071527B"/>
    <w:rsid w:val="00715862"/>
    <w:rsid w:val="00725B56"/>
    <w:rsid w:val="00727C08"/>
    <w:rsid w:val="007369CF"/>
    <w:rsid w:val="00753B1A"/>
    <w:rsid w:val="00760508"/>
    <w:rsid w:val="00764519"/>
    <w:rsid w:val="00770F6C"/>
    <w:rsid w:val="00785571"/>
    <w:rsid w:val="00786A6F"/>
    <w:rsid w:val="00792C32"/>
    <w:rsid w:val="007A0925"/>
    <w:rsid w:val="007A1360"/>
    <w:rsid w:val="007B113B"/>
    <w:rsid w:val="007B1E19"/>
    <w:rsid w:val="007C60A5"/>
    <w:rsid w:val="007D213E"/>
    <w:rsid w:val="007D5552"/>
    <w:rsid w:val="007E2611"/>
    <w:rsid w:val="007E26B3"/>
    <w:rsid w:val="007E3BDB"/>
    <w:rsid w:val="007E7070"/>
    <w:rsid w:val="007F3356"/>
    <w:rsid w:val="0080176A"/>
    <w:rsid w:val="00805B9B"/>
    <w:rsid w:val="00810223"/>
    <w:rsid w:val="00810F07"/>
    <w:rsid w:val="008142CE"/>
    <w:rsid w:val="0082213F"/>
    <w:rsid w:val="00837785"/>
    <w:rsid w:val="00840B38"/>
    <w:rsid w:val="008607B0"/>
    <w:rsid w:val="00880001"/>
    <w:rsid w:val="008850E7"/>
    <w:rsid w:val="00887E12"/>
    <w:rsid w:val="00896323"/>
    <w:rsid w:val="00897FEA"/>
    <w:rsid w:val="008A4B71"/>
    <w:rsid w:val="008A5B55"/>
    <w:rsid w:val="008B0FDF"/>
    <w:rsid w:val="008B45A4"/>
    <w:rsid w:val="008B66D2"/>
    <w:rsid w:val="008D2A89"/>
    <w:rsid w:val="008E730C"/>
    <w:rsid w:val="008E7A1C"/>
    <w:rsid w:val="00906DE4"/>
    <w:rsid w:val="00912024"/>
    <w:rsid w:val="00917BC4"/>
    <w:rsid w:val="009512CF"/>
    <w:rsid w:val="00965A12"/>
    <w:rsid w:val="00970D21"/>
    <w:rsid w:val="00976483"/>
    <w:rsid w:val="00996314"/>
    <w:rsid w:val="009A3C99"/>
    <w:rsid w:val="009A63DB"/>
    <w:rsid w:val="009C7296"/>
    <w:rsid w:val="009D2A2E"/>
    <w:rsid w:val="009D3617"/>
    <w:rsid w:val="009E5E57"/>
    <w:rsid w:val="009E64D9"/>
    <w:rsid w:val="009F7312"/>
    <w:rsid w:val="00A02AF9"/>
    <w:rsid w:val="00A05704"/>
    <w:rsid w:val="00A07D15"/>
    <w:rsid w:val="00A07F9D"/>
    <w:rsid w:val="00A172A2"/>
    <w:rsid w:val="00A17DBA"/>
    <w:rsid w:val="00A20A8E"/>
    <w:rsid w:val="00A336AD"/>
    <w:rsid w:val="00A33C98"/>
    <w:rsid w:val="00A3630B"/>
    <w:rsid w:val="00A450BF"/>
    <w:rsid w:val="00A45A5C"/>
    <w:rsid w:val="00A45CF6"/>
    <w:rsid w:val="00A46D63"/>
    <w:rsid w:val="00A50D04"/>
    <w:rsid w:val="00A53F1D"/>
    <w:rsid w:val="00A6715E"/>
    <w:rsid w:val="00A93278"/>
    <w:rsid w:val="00A94866"/>
    <w:rsid w:val="00A96B49"/>
    <w:rsid w:val="00AA00C6"/>
    <w:rsid w:val="00AA2C7C"/>
    <w:rsid w:val="00AA7A58"/>
    <w:rsid w:val="00AB0C25"/>
    <w:rsid w:val="00AB47E3"/>
    <w:rsid w:val="00AB68D8"/>
    <w:rsid w:val="00AC592F"/>
    <w:rsid w:val="00AD2127"/>
    <w:rsid w:val="00AF3598"/>
    <w:rsid w:val="00AF5CB4"/>
    <w:rsid w:val="00AF680C"/>
    <w:rsid w:val="00B1431A"/>
    <w:rsid w:val="00B16C6D"/>
    <w:rsid w:val="00B21709"/>
    <w:rsid w:val="00B24C95"/>
    <w:rsid w:val="00B2594C"/>
    <w:rsid w:val="00B27A23"/>
    <w:rsid w:val="00B3420E"/>
    <w:rsid w:val="00B410B5"/>
    <w:rsid w:val="00B56C47"/>
    <w:rsid w:val="00B622A5"/>
    <w:rsid w:val="00B77D7F"/>
    <w:rsid w:val="00B80585"/>
    <w:rsid w:val="00B80653"/>
    <w:rsid w:val="00B81123"/>
    <w:rsid w:val="00B95C8A"/>
    <w:rsid w:val="00BA5CF0"/>
    <w:rsid w:val="00BB228F"/>
    <w:rsid w:val="00BB6DBD"/>
    <w:rsid w:val="00BD1C1A"/>
    <w:rsid w:val="00BD6D23"/>
    <w:rsid w:val="00BE0555"/>
    <w:rsid w:val="00BE7666"/>
    <w:rsid w:val="00BF633C"/>
    <w:rsid w:val="00C05D03"/>
    <w:rsid w:val="00C11211"/>
    <w:rsid w:val="00C12773"/>
    <w:rsid w:val="00C17FC4"/>
    <w:rsid w:val="00C21791"/>
    <w:rsid w:val="00C33205"/>
    <w:rsid w:val="00C577ED"/>
    <w:rsid w:val="00C73602"/>
    <w:rsid w:val="00C85069"/>
    <w:rsid w:val="00C86426"/>
    <w:rsid w:val="00C926EA"/>
    <w:rsid w:val="00C92D9C"/>
    <w:rsid w:val="00C943B2"/>
    <w:rsid w:val="00CA12A8"/>
    <w:rsid w:val="00CA7E30"/>
    <w:rsid w:val="00CC47A9"/>
    <w:rsid w:val="00CF099F"/>
    <w:rsid w:val="00CF0A6B"/>
    <w:rsid w:val="00CF1FF9"/>
    <w:rsid w:val="00CF6519"/>
    <w:rsid w:val="00CF6932"/>
    <w:rsid w:val="00D13127"/>
    <w:rsid w:val="00D145E9"/>
    <w:rsid w:val="00D200AC"/>
    <w:rsid w:val="00D21450"/>
    <w:rsid w:val="00D32DEF"/>
    <w:rsid w:val="00D46087"/>
    <w:rsid w:val="00D5240F"/>
    <w:rsid w:val="00D52DAF"/>
    <w:rsid w:val="00D55956"/>
    <w:rsid w:val="00D57CFF"/>
    <w:rsid w:val="00D57E7B"/>
    <w:rsid w:val="00D61729"/>
    <w:rsid w:val="00D649F9"/>
    <w:rsid w:val="00D6733C"/>
    <w:rsid w:val="00D745FE"/>
    <w:rsid w:val="00D83C7D"/>
    <w:rsid w:val="00D83E1E"/>
    <w:rsid w:val="00D86DB1"/>
    <w:rsid w:val="00D916AB"/>
    <w:rsid w:val="00DA0204"/>
    <w:rsid w:val="00DA2DD6"/>
    <w:rsid w:val="00DA5CB2"/>
    <w:rsid w:val="00DB6902"/>
    <w:rsid w:val="00DC1025"/>
    <w:rsid w:val="00DC17FB"/>
    <w:rsid w:val="00DC21BB"/>
    <w:rsid w:val="00DC46E2"/>
    <w:rsid w:val="00DC4775"/>
    <w:rsid w:val="00DC4C62"/>
    <w:rsid w:val="00DE1B1B"/>
    <w:rsid w:val="00DE465A"/>
    <w:rsid w:val="00DE6FC8"/>
    <w:rsid w:val="00DF637D"/>
    <w:rsid w:val="00E004DD"/>
    <w:rsid w:val="00E005F7"/>
    <w:rsid w:val="00E04D7E"/>
    <w:rsid w:val="00E07DA2"/>
    <w:rsid w:val="00E137AD"/>
    <w:rsid w:val="00E235F0"/>
    <w:rsid w:val="00E321B7"/>
    <w:rsid w:val="00E40B94"/>
    <w:rsid w:val="00E41878"/>
    <w:rsid w:val="00E43722"/>
    <w:rsid w:val="00E52E62"/>
    <w:rsid w:val="00E53D9A"/>
    <w:rsid w:val="00E556E3"/>
    <w:rsid w:val="00E56866"/>
    <w:rsid w:val="00E62634"/>
    <w:rsid w:val="00E737F2"/>
    <w:rsid w:val="00E91FB5"/>
    <w:rsid w:val="00EC045A"/>
    <w:rsid w:val="00EC1A59"/>
    <w:rsid w:val="00EC3736"/>
    <w:rsid w:val="00EC4D3E"/>
    <w:rsid w:val="00ED003C"/>
    <w:rsid w:val="00ED22C9"/>
    <w:rsid w:val="00EE106D"/>
    <w:rsid w:val="00EE4E87"/>
    <w:rsid w:val="00F01727"/>
    <w:rsid w:val="00F03FC0"/>
    <w:rsid w:val="00F07456"/>
    <w:rsid w:val="00F17BF0"/>
    <w:rsid w:val="00F52481"/>
    <w:rsid w:val="00F64002"/>
    <w:rsid w:val="00F744F1"/>
    <w:rsid w:val="00F813FB"/>
    <w:rsid w:val="00F81699"/>
    <w:rsid w:val="00F863F9"/>
    <w:rsid w:val="00F955A3"/>
    <w:rsid w:val="00F95D0B"/>
    <w:rsid w:val="00FA4DBE"/>
    <w:rsid w:val="00FA796D"/>
    <w:rsid w:val="00FB0F47"/>
    <w:rsid w:val="00FB1288"/>
    <w:rsid w:val="00FB40D2"/>
    <w:rsid w:val="00FC123D"/>
    <w:rsid w:val="00FC35FA"/>
    <w:rsid w:val="00FD6568"/>
    <w:rsid w:val="00FF1015"/>
    <w:rsid w:val="2A487B70"/>
  </w:rsids>
  <m:mathPr>
    <m:mathFont m:val="Cambria Math"/>
    <m:brkBin m:val="before"/>
    <m:brkBinSub m:val="--"/>
    <m:smallFrac m:val="0"/>
    <m:dispDef/>
    <m:lMargin m:val="0"/>
    <m:rMargin m:val="0"/>
    <m:defJc m:val="centerGroup"/>
    <m:wrapIndent m:val="1440"/>
    <m:intLim m:val="subSup"/>
    <m:naryLim m:val="undOvr"/>
  </m:mathPr>
  <w:themeFontLang w:val="tr-T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8B3FA"/>
  <w15:docId w15:val="{C5DD7CCD-5D9B-4297-A311-F189265A8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eastAsia="MS Mincho"/>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536"/>
        <w:tab w:val="right" w:pos="9072"/>
      </w:tabs>
      <w:spacing w:after="0" w:line="240" w:lineRule="auto"/>
    </w:pPr>
  </w:style>
  <w:style w:type="paragraph" w:styleId="Header">
    <w:name w:val="header"/>
    <w:basedOn w:val="Normal"/>
    <w:link w:val="HeaderChar"/>
    <w:uiPriority w:val="99"/>
    <w:unhideWhenUsed/>
    <w:qFormat/>
    <w:pPr>
      <w:tabs>
        <w:tab w:val="center" w:pos="4536"/>
        <w:tab w:val="right" w:pos="9072"/>
      </w:tabs>
      <w:spacing w:after="0" w:line="240" w:lineRule="auto"/>
    </w:pPr>
  </w:style>
  <w:style w:type="character" w:styleId="Hyperlink">
    <w:name w:val="Hyperlink"/>
    <w:basedOn w:val="DefaultParagraphFont"/>
    <w:uiPriority w:val="99"/>
    <w:unhideWhenUsed/>
    <w:qFormat/>
    <w:rPr>
      <w:color w:val="0563C1"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qFormat/>
    <w:pPr>
      <w:spacing w:after="100"/>
    </w:p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kern w:val="0"/>
      <w:sz w:val="32"/>
      <w:szCs w:val="32"/>
      <w:lang w:val="en-US"/>
      <w14:ligatures w14:val="none"/>
    </w:rPr>
  </w:style>
  <w:style w:type="paragraph" w:customStyle="1" w:styleId="TOCHeading1">
    <w:name w:val="TOC Heading1"/>
    <w:basedOn w:val="Heading1"/>
    <w:next w:val="Normal"/>
    <w:uiPriority w:val="39"/>
    <w:unhideWhenUsed/>
    <w:qFormat/>
    <w:pPr>
      <w:spacing w:before="0" w:line="259" w:lineRule="auto"/>
      <w:jc w:val="center"/>
      <w:outlineLvl w:val="9"/>
    </w:pPr>
    <w:rPr>
      <w:rFonts w:ascii="Times New Roman" w:hAnsi="Times New Roman" w:cs="Times New Roman"/>
      <w:b/>
      <w:color w:val="000000" w:themeColor="text1"/>
      <w:sz w:val="28"/>
      <w:szCs w:val="28"/>
    </w:rPr>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link w:val="ListParagraph"/>
    <w:uiPriority w:val="34"/>
    <w:qFormat/>
    <w:locked/>
    <w:rPr>
      <w:rFonts w:eastAsia="MS Mincho"/>
      <w:kern w:val="0"/>
      <w:lang w:val="en-US"/>
      <w14:ligatures w14:val="none"/>
    </w:rPr>
  </w:style>
  <w:style w:type="character" w:customStyle="1" w:styleId="HeaderChar">
    <w:name w:val="Header Char"/>
    <w:basedOn w:val="DefaultParagraphFont"/>
    <w:link w:val="Header"/>
    <w:uiPriority w:val="99"/>
    <w:qFormat/>
    <w:rPr>
      <w:rFonts w:eastAsia="MS Mincho"/>
      <w:kern w:val="0"/>
      <w:lang w:val="en-US"/>
      <w14:ligatures w14:val="none"/>
    </w:rPr>
  </w:style>
  <w:style w:type="character" w:customStyle="1" w:styleId="FooterChar">
    <w:name w:val="Footer Char"/>
    <w:basedOn w:val="DefaultParagraphFont"/>
    <w:link w:val="Footer"/>
    <w:uiPriority w:val="99"/>
    <w:qFormat/>
    <w:rPr>
      <w:rFonts w:eastAsia="MS Mincho"/>
      <w:kern w:val="0"/>
      <w:lang w:val="en-US"/>
      <w14:ligatures w14:val="none"/>
    </w:rPr>
  </w:style>
  <w:style w:type="character" w:customStyle="1" w:styleId="a-size-extra-large">
    <w:name w:val="a-size-extra-large"/>
    <w:basedOn w:val="DefaultParagraphFont"/>
    <w:qFormat/>
  </w:style>
  <w:style w:type="character" w:customStyle="1" w:styleId="UnresolvedMention1">
    <w:name w:val="Unresolved Mention1"/>
    <w:basedOn w:val="DefaultParagraphFont"/>
    <w:uiPriority w:val="99"/>
    <w:semiHidden/>
    <w:unhideWhenUsed/>
    <w:rPr>
      <w:color w:val="605E5C"/>
      <w:shd w:val="clear" w:color="auto" w:fill="E1DFDD"/>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864" w:themeColor="accent1" w:themeShade="80"/>
      <w:kern w:val="0"/>
      <w:sz w:val="24"/>
      <w:szCs w:val="24"/>
      <w:lang w:val="en-US"/>
      <w14:ligatures w14:val="none"/>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kern w:val="0"/>
      <w:sz w:val="26"/>
      <w:szCs w:val="26"/>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128963-9746-46C4-9CC3-FAE6892E9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4105</TotalTime>
  <Pages>1</Pages>
  <Words>22756</Words>
  <Characters>129712</Characters>
  <Application>Microsoft Office Word</Application>
  <DocSecurity>0</DocSecurity>
  <Lines>1080</Lines>
  <Paragraphs>304</Paragraphs>
  <ScaleCrop>false</ScaleCrop>
  <Company/>
  <LinksUpToDate>false</LinksUpToDate>
  <CharactersWithSpaces>152164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ELJAN AYYUBOV</dc:creator>
  <cp:lastModifiedBy>Elvin Alirzayev</cp:lastModifiedBy>
  <cp:revision>217</cp:revision>
  <dcterms:created xsi:type="dcterms:W3CDTF">2023-10-06T16:11:00Z</dcterms:created>
  <dcterms:modified xsi:type="dcterms:W3CDTF">2026-06-22T07:21:00Z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eyJoZGlkIjoiOTIyNjlmYWY2YWFhM2NiYjhjOThhZTc3YmM3Mzk0YjEifQ==</vt:lpwstr>
  </property>
  <property fmtid="{D5CDD505-2E9C-101B-9397-08002B2CF9AE}" pid="3" name="KSOProductBuildVer">
    <vt:lpwstr>1033-12.1.0.26880</vt:lpwstr>
  </property>
  <property fmtid="{D5CDD505-2E9C-101B-9397-08002B2CF9AE}" pid="4" name="ICV">
    <vt:lpwstr>C1D3C134333C4FD5B1BCFF7580C690CF_12</vt:lpwstr>
  </property>
</Properties>
</file>